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45"/>
        <w:tblW w:w="98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23"/>
        <w:gridCol w:w="6687"/>
      </w:tblGrid>
      <w:tr w:rsidR="00E66B49" w:rsidRPr="007C1C31" w14:paraId="5FD09450" w14:textId="77777777" w:rsidTr="00E66B49">
        <w:tc>
          <w:tcPr>
            <w:tcW w:w="3123" w:type="dxa"/>
            <w:shd w:val="clear" w:color="auto" w:fill="auto"/>
          </w:tcPr>
          <w:p w14:paraId="4A4BAC43" w14:textId="77777777" w:rsidR="00E66B49" w:rsidRPr="007C1C31" w:rsidRDefault="00E66B49" w:rsidP="00E66B49">
            <w:pPr>
              <w:rPr>
                <w:b/>
                <w:iCs/>
                <w:color w:val="000000"/>
                <w:sz w:val="22"/>
                <w:szCs w:val="22"/>
              </w:rPr>
            </w:pPr>
            <w:bookmarkStart w:id="0" w:name="_GoBack"/>
            <w:bookmarkEnd w:id="0"/>
            <w:r w:rsidRPr="007C1C31">
              <w:rPr>
                <w:b/>
                <w:iCs/>
                <w:color w:val="000000"/>
                <w:sz w:val="22"/>
                <w:szCs w:val="22"/>
              </w:rPr>
              <w:t>Birim</w:t>
            </w:r>
            <w:r>
              <w:rPr>
                <w:b/>
                <w:iCs/>
                <w:color w:val="000000"/>
                <w:sz w:val="22"/>
                <w:szCs w:val="22"/>
              </w:rPr>
              <w:t>i</w:t>
            </w:r>
          </w:p>
        </w:tc>
        <w:tc>
          <w:tcPr>
            <w:tcW w:w="6687" w:type="dxa"/>
            <w:shd w:val="clear" w:color="auto" w:fill="auto"/>
          </w:tcPr>
          <w:p w14:paraId="541C6160" w14:textId="77777777" w:rsidR="00E66B49" w:rsidRPr="007C1C31" w:rsidRDefault="00E66B49" w:rsidP="00E66B49">
            <w:pPr>
              <w:rPr>
                <w:sz w:val="22"/>
                <w:szCs w:val="22"/>
              </w:rPr>
            </w:pPr>
          </w:p>
        </w:tc>
      </w:tr>
      <w:tr w:rsidR="00E66B49" w:rsidRPr="007C1C31" w14:paraId="0CFECC29" w14:textId="77777777" w:rsidTr="00E66B49">
        <w:tc>
          <w:tcPr>
            <w:tcW w:w="3123" w:type="dxa"/>
            <w:shd w:val="clear" w:color="auto" w:fill="auto"/>
          </w:tcPr>
          <w:p w14:paraId="5FD6A53D" w14:textId="77777777" w:rsidR="00E66B49" w:rsidRPr="007C1C31" w:rsidRDefault="00E66B49" w:rsidP="00E66B49">
            <w:pPr>
              <w:rPr>
                <w:b/>
                <w:iCs/>
                <w:color w:val="000000"/>
                <w:sz w:val="22"/>
                <w:szCs w:val="22"/>
              </w:rPr>
            </w:pPr>
            <w:r w:rsidRPr="007C1C31">
              <w:rPr>
                <w:b/>
                <w:iCs/>
                <w:color w:val="000000"/>
                <w:sz w:val="22"/>
                <w:szCs w:val="22"/>
              </w:rPr>
              <w:t xml:space="preserve">Alt Birim </w:t>
            </w:r>
          </w:p>
        </w:tc>
        <w:tc>
          <w:tcPr>
            <w:tcW w:w="6687" w:type="dxa"/>
            <w:shd w:val="clear" w:color="auto" w:fill="auto"/>
          </w:tcPr>
          <w:p w14:paraId="488E0FBE" w14:textId="77777777" w:rsidR="00E66B49" w:rsidRPr="007C1C31" w:rsidRDefault="00E66B49" w:rsidP="00E66B49">
            <w:pPr>
              <w:rPr>
                <w:sz w:val="22"/>
                <w:szCs w:val="22"/>
              </w:rPr>
            </w:pPr>
          </w:p>
        </w:tc>
      </w:tr>
      <w:tr w:rsidR="00E66B49" w:rsidRPr="007C1C31" w14:paraId="27ED11F3" w14:textId="77777777" w:rsidTr="00E66B49">
        <w:tc>
          <w:tcPr>
            <w:tcW w:w="3123" w:type="dxa"/>
            <w:shd w:val="clear" w:color="auto" w:fill="auto"/>
          </w:tcPr>
          <w:p w14:paraId="25EAF618" w14:textId="77777777" w:rsidR="00E66B49" w:rsidRPr="007C1C31" w:rsidRDefault="00E66B49" w:rsidP="00E66B49">
            <w:pPr>
              <w:rPr>
                <w:b/>
                <w:iCs/>
                <w:color w:val="000000"/>
                <w:sz w:val="22"/>
                <w:szCs w:val="22"/>
              </w:rPr>
            </w:pPr>
            <w:r>
              <w:rPr>
                <w:b/>
                <w:sz w:val="22"/>
                <w:szCs w:val="22"/>
              </w:rPr>
              <w:t>İlk Amiri</w:t>
            </w:r>
          </w:p>
        </w:tc>
        <w:tc>
          <w:tcPr>
            <w:tcW w:w="6687" w:type="dxa"/>
            <w:shd w:val="clear" w:color="auto" w:fill="auto"/>
          </w:tcPr>
          <w:p w14:paraId="41EFCF36" w14:textId="77777777" w:rsidR="00E66B49" w:rsidRPr="007C1C31" w:rsidRDefault="00E66B49" w:rsidP="00E66B49">
            <w:pPr>
              <w:rPr>
                <w:sz w:val="22"/>
                <w:szCs w:val="22"/>
              </w:rPr>
            </w:pPr>
          </w:p>
        </w:tc>
      </w:tr>
      <w:tr w:rsidR="00E66B49" w:rsidRPr="007C1C31" w14:paraId="3C17F7CD" w14:textId="77777777" w:rsidTr="00E66B49">
        <w:tc>
          <w:tcPr>
            <w:tcW w:w="3123" w:type="dxa"/>
            <w:shd w:val="clear" w:color="auto" w:fill="auto"/>
          </w:tcPr>
          <w:p w14:paraId="4CD66E1E" w14:textId="77777777" w:rsidR="00E66B49" w:rsidRPr="007C1C31" w:rsidRDefault="00E66B49" w:rsidP="00E66B49">
            <w:pPr>
              <w:rPr>
                <w:b/>
                <w:sz w:val="22"/>
                <w:szCs w:val="22"/>
              </w:rPr>
            </w:pPr>
            <w:r>
              <w:rPr>
                <w:b/>
                <w:sz w:val="22"/>
                <w:szCs w:val="22"/>
              </w:rPr>
              <w:t>Sınıf</w:t>
            </w:r>
          </w:p>
        </w:tc>
        <w:tc>
          <w:tcPr>
            <w:tcW w:w="6687" w:type="dxa"/>
            <w:shd w:val="clear" w:color="auto" w:fill="auto"/>
          </w:tcPr>
          <w:p w14:paraId="594B62BE" w14:textId="77777777" w:rsidR="00E66B49" w:rsidRPr="007C1C31" w:rsidRDefault="00E66B49" w:rsidP="00E66B49">
            <w:pPr>
              <w:rPr>
                <w:sz w:val="22"/>
                <w:szCs w:val="22"/>
              </w:rPr>
            </w:pPr>
          </w:p>
        </w:tc>
      </w:tr>
      <w:tr w:rsidR="00E66B49" w:rsidRPr="007C1C31" w14:paraId="2B5E4199" w14:textId="77777777" w:rsidTr="00E66B49">
        <w:tc>
          <w:tcPr>
            <w:tcW w:w="3123" w:type="dxa"/>
            <w:shd w:val="clear" w:color="auto" w:fill="auto"/>
          </w:tcPr>
          <w:p w14:paraId="7E8A5912" w14:textId="77777777" w:rsidR="00E66B49" w:rsidRPr="007C1C31" w:rsidRDefault="00E66B49" w:rsidP="00E66B49">
            <w:pPr>
              <w:rPr>
                <w:b/>
                <w:sz w:val="22"/>
                <w:szCs w:val="22"/>
              </w:rPr>
            </w:pPr>
            <w:r w:rsidRPr="007C1C31">
              <w:rPr>
                <w:b/>
                <w:sz w:val="22"/>
                <w:szCs w:val="22"/>
              </w:rPr>
              <w:t>Kadrosu</w:t>
            </w:r>
          </w:p>
        </w:tc>
        <w:tc>
          <w:tcPr>
            <w:tcW w:w="6687" w:type="dxa"/>
            <w:shd w:val="clear" w:color="auto" w:fill="auto"/>
          </w:tcPr>
          <w:p w14:paraId="1C88136F" w14:textId="77777777" w:rsidR="00E66B49" w:rsidRPr="007C1C31" w:rsidRDefault="00E66B49" w:rsidP="00E66B49">
            <w:pPr>
              <w:rPr>
                <w:sz w:val="22"/>
                <w:szCs w:val="22"/>
              </w:rPr>
            </w:pPr>
            <w:r>
              <w:rPr>
                <w:sz w:val="22"/>
                <w:szCs w:val="22"/>
              </w:rPr>
              <w:t>-</w:t>
            </w:r>
          </w:p>
        </w:tc>
      </w:tr>
      <w:tr w:rsidR="00E66B49" w:rsidRPr="007C1C31" w14:paraId="5A8FA094" w14:textId="77777777" w:rsidTr="00E66B49">
        <w:tc>
          <w:tcPr>
            <w:tcW w:w="3123" w:type="dxa"/>
            <w:shd w:val="clear" w:color="auto" w:fill="auto"/>
          </w:tcPr>
          <w:p w14:paraId="5A074DDE" w14:textId="77777777" w:rsidR="00E66B49" w:rsidRPr="007C1C31" w:rsidRDefault="00E66B49" w:rsidP="00E66B49">
            <w:pPr>
              <w:rPr>
                <w:b/>
                <w:sz w:val="22"/>
                <w:szCs w:val="22"/>
              </w:rPr>
            </w:pPr>
            <w:r>
              <w:rPr>
                <w:b/>
                <w:sz w:val="22"/>
                <w:szCs w:val="22"/>
              </w:rPr>
              <w:t>Görev Adı</w:t>
            </w:r>
          </w:p>
        </w:tc>
        <w:tc>
          <w:tcPr>
            <w:tcW w:w="6687" w:type="dxa"/>
            <w:shd w:val="clear" w:color="auto" w:fill="auto"/>
          </w:tcPr>
          <w:p w14:paraId="65431BD5" w14:textId="77777777" w:rsidR="00E66B49" w:rsidRDefault="00E66B49" w:rsidP="00E66B49">
            <w:pPr>
              <w:rPr>
                <w:sz w:val="22"/>
                <w:szCs w:val="22"/>
              </w:rPr>
            </w:pPr>
            <w:r>
              <w:rPr>
                <w:sz w:val="22"/>
                <w:szCs w:val="22"/>
              </w:rPr>
              <w:t>Bölüm Sekreteri</w:t>
            </w:r>
          </w:p>
        </w:tc>
      </w:tr>
      <w:tr w:rsidR="00E66B49" w:rsidRPr="007C1C31" w14:paraId="311E9227" w14:textId="77777777" w:rsidTr="00E66B49">
        <w:tc>
          <w:tcPr>
            <w:tcW w:w="3123" w:type="dxa"/>
            <w:shd w:val="clear" w:color="auto" w:fill="auto"/>
          </w:tcPr>
          <w:p w14:paraId="531044AD" w14:textId="77777777" w:rsidR="00E66B49" w:rsidRPr="007C1C31" w:rsidRDefault="00E66B49" w:rsidP="00E66B49">
            <w:pPr>
              <w:rPr>
                <w:b/>
                <w:sz w:val="22"/>
                <w:szCs w:val="22"/>
              </w:rPr>
            </w:pPr>
            <w:r>
              <w:rPr>
                <w:b/>
                <w:sz w:val="22"/>
                <w:szCs w:val="22"/>
              </w:rPr>
              <w:t>Vekalet/</w:t>
            </w:r>
            <w:r w:rsidRPr="007C1C31">
              <w:rPr>
                <w:b/>
                <w:sz w:val="22"/>
                <w:szCs w:val="22"/>
              </w:rPr>
              <w:t>Görev Devri</w:t>
            </w:r>
          </w:p>
        </w:tc>
        <w:tc>
          <w:tcPr>
            <w:tcW w:w="6687" w:type="dxa"/>
            <w:shd w:val="clear" w:color="auto" w:fill="auto"/>
          </w:tcPr>
          <w:p w14:paraId="322784CE" w14:textId="77777777" w:rsidR="00E66B49" w:rsidRPr="007C1C31" w:rsidRDefault="00E66B49" w:rsidP="00E66B49">
            <w:pPr>
              <w:rPr>
                <w:sz w:val="22"/>
                <w:szCs w:val="22"/>
              </w:rPr>
            </w:pPr>
            <w:r>
              <w:rPr>
                <w:sz w:val="22"/>
                <w:szCs w:val="22"/>
              </w:rPr>
              <w:t>Yok</w:t>
            </w:r>
          </w:p>
        </w:tc>
      </w:tr>
    </w:tbl>
    <w:p w14:paraId="7CCE91C4" w14:textId="77777777" w:rsidR="004D2120" w:rsidRPr="007C1C31" w:rsidRDefault="004D2120" w:rsidP="004D2120">
      <w:pPr>
        <w:rPr>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798"/>
      </w:tblGrid>
      <w:tr w:rsidR="0033262E" w:rsidRPr="007C1C31" w14:paraId="4DDDBF28" w14:textId="77777777" w:rsidTr="0033262E">
        <w:tc>
          <w:tcPr>
            <w:tcW w:w="3012" w:type="dxa"/>
            <w:shd w:val="clear" w:color="auto" w:fill="auto"/>
          </w:tcPr>
          <w:p w14:paraId="1BBB1998" w14:textId="77777777" w:rsidR="0033262E" w:rsidRPr="007C1C31" w:rsidRDefault="0033262E" w:rsidP="0033262E">
            <w:pPr>
              <w:keepNext/>
              <w:spacing w:before="60" w:after="60"/>
              <w:jc w:val="both"/>
              <w:outlineLvl w:val="1"/>
              <w:rPr>
                <w:b/>
                <w:bCs/>
                <w:iCs/>
                <w:color w:val="000000"/>
                <w:sz w:val="22"/>
                <w:szCs w:val="22"/>
              </w:rPr>
            </w:pPr>
            <w:r w:rsidRPr="007C1C31">
              <w:rPr>
                <w:b/>
                <w:bCs/>
                <w:iCs/>
                <w:color w:val="000000"/>
                <w:sz w:val="22"/>
                <w:szCs w:val="22"/>
              </w:rPr>
              <w:t>Görevin Kısa Tanımı</w:t>
            </w:r>
          </w:p>
        </w:tc>
        <w:tc>
          <w:tcPr>
            <w:tcW w:w="6798" w:type="dxa"/>
          </w:tcPr>
          <w:p w14:paraId="2F6E909B" w14:textId="6AD3965C" w:rsidR="0033262E" w:rsidRPr="00ED5516" w:rsidRDefault="00CD6746" w:rsidP="0033262E">
            <w:pPr>
              <w:jc w:val="both"/>
              <w:rPr>
                <w:iCs/>
                <w:color w:val="000000"/>
                <w:sz w:val="22"/>
                <w:szCs w:val="22"/>
              </w:rPr>
            </w:pPr>
            <w:r w:rsidRPr="00CD6746">
              <w:rPr>
                <w:iCs/>
                <w:color w:val="000000"/>
                <w:sz w:val="22"/>
                <w:szCs w:val="22"/>
              </w:rPr>
              <w:t>Bölüm Başkanlığı sekretarya hizmetleri ile yürütülen eğitim ve öğretim faaliyetlerinin etkinlik ve verimlilik çerçevesi içerisinde yasal düzenlemeler ve belirlenen standartlara uygun olarak katkı sağlamak.</w:t>
            </w:r>
          </w:p>
        </w:tc>
      </w:tr>
    </w:tbl>
    <w:p w14:paraId="4EFB475C" w14:textId="77777777" w:rsidR="004D2120" w:rsidRPr="007C1C31" w:rsidRDefault="004D2120" w:rsidP="004D2120">
      <w:pPr>
        <w:spacing w:before="100" w:after="100"/>
        <w:jc w:val="both"/>
        <w:rPr>
          <w:b/>
          <w:bCs/>
          <w:sz w:val="22"/>
          <w:szCs w:val="22"/>
        </w:rPr>
      </w:pPr>
      <w:r w:rsidRPr="007C1C31">
        <w:rPr>
          <w:b/>
          <w:sz w:val="22"/>
          <w:szCs w:val="22"/>
        </w:rPr>
        <w:t xml:space="preserve">GÖREV, YETKİ VE SORUMLULUKLARI: </w:t>
      </w:r>
    </w:p>
    <w:tbl>
      <w:tblPr>
        <w:tblW w:w="9848"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9848"/>
      </w:tblGrid>
      <w:tr w:rsidR="004D2120" w:rsidRPr="007C1C31" w14:paraId="38BB8220" w14:textId="77777777" w:rsidTr="0033262E">
        <w:trPr>
          <w:trHeight w:val="1124"/>
        </w:trPr>
        <w:tc>
          <w:tcPr>
            <w:tcW w:w="9848" w:type="dxa"/>
          </w:tcPr>
          <w:p w14:paraId="5C6907E4" w14:textId="63DA0618" w:rsidR="00CD6746" w:rsidRDefault="00CD6746" w:rsidP="00064989">
            <w:pPr>
              <w:tabs>
                <w:tab w:val="left" w:pos="217"/>
                <w:tab w:val="left" w:pos="501"/>
              </w:tabs>
              <w:jc w:val="both"/>
              <w:rPr>
                <w:color w:val="000000"/>
                <w:sz w:val="22"/>
                <w:szCs w:val="22"/>
                <w:lang w:eastAsia="en-US"/>
              </w:rPr>
            </w:pPr>
            <w:r w:rsidRPr="00CD6746">
              <w:rPr>
                <w:color w:val="000000"/>
                <w:sz w:val="22"/>
                <w:szCs w:val="22"/>
                <w:lang w:eastAsia="en-US"/>
              </w:rPr>
              <w:t xml:space="preserve">Bölüm Sekreterinin görev, yetki ve sorumlulukları şunlardır:  </w:t>
            </w:r>
          </w:p>
          <w:p w14:paraId="647E7FEE" w14:textId="77777777" w:rsidR="00E33A93" w:rsidRDefault="00CD6746" w:rsidP="00E33A93">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Bölüm panolarının tertip ve düzenini sağlamak, gereksiz ve zamanı geçmiş duyuruları kontrol ederek indirmek</w:t>
            </w:r>
            <w:r w:rsidR="00E33A93">
              <w:rPr>
                <w:color w:val="000000"/>
                <w:sz w:val="22"/>
                <w:szCs w:val="22"/>
                <w:lang w:eastAsia="en-US"/>
              </w:rPr>
              <w:t>,</w:t>
            </w:r>
          </w:p>
          <w:p w14:paraId="3D6B7B5F"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 xml:space="preserve"> Bölüm elemanları ile ilgili duyuruların panolara asılmasını, ilgililere ulaşmasını sağlamak</w:t>
            </w:r>
            <w:r w:rsidR="00E33A93">
              <w:rPr>
                <w:color w:val="000000"/>
                <w:sz w:val="22"/>
                <w:szCs w:val="22"/>
                <w:lang w:eastAsia="en-US"/>
              </w:rPr>
              <w:t>,</w:t>
            </w:r>
          </w:p>
          <w:p w14:paraId="0368A19C"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Bölüm elemanlarının izin, rapor ve görevlendirme dosyalarını düzenli bir şekilde tutarak bu konularla ilgili yazışmaları yapmak, göreve başlama tarihleri ile ders telafi formlarını en kısa sürede dilekçeleri ile birlikte, resmi yazı ekinde ilgili birime ulaştırmak</w:t>
            </w:r>
            <w:r w:rsidR="00E33A93">
              <w:rPr>
                <w:color w:val="000000"/>
                <w:sz w:val="22"/>
                <w:szCs w:val="22"/>
                <w:lang w:eastAsia="en-US"/>
              </w:rPr>
              <w:t>,</w:t>
            </w:r>
            <w:r w:rsidRPr="00E33A93">
              <w:rPr>
                <w:color w:val="000000"/>
                <w:sz w:val="22"/>
                <w:szCs w:val="22"/>
                <w:lang w:eastAsia="en-US"/>
              </w:rPr>
              <w:t xml:space="preserve"> </w:t>
            </w:r>
          </w:p>
          <w:p w14:paraId="49F10307" w14:textId="4A2C2B58"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Eğitim-Öğretimle ilgili öğrenci listeleri, ders yükleri, haftalık ve yarıyıl ders programları, ders açılması, gözetmen görevlendirmeleri ile sınav programlarının yazılmasında görevlilere yardımcı olmak, zamanında ilan edilmesi ve öğretim elemanlarına dağıtılmasını sağlamak</w:t>
            </w:r>
            <w:r w:rsidR="00E33A93">
              <w:rPr>
                <w:color w:val="000000"/>
                <w:sz w:val="22"/>
                <w:szCs w:val="22"/>
                <w:lang w:eastAsia="en-US"/>
              </w:rPr>
              <w:t>,</w:t>
            </w:r>
            <w:r w:rsidRPr="00E33A93">
              <w:rPr>
                <w:color w:val="000000"/>
                <w:sz w:val="22"/>
                <w:szCs w:val="22"/>
                <w:lang w:eastAsia="en-US"/>
              </w:rPr>
              <w:t xml:space="preserve">  </w:t>
            </w:r>
          </w:p>
          <w:p w14:paraId="79CCADFA" w14:textId="77777777" w:rsidR="00E33A93" w:rsidRDefault="00E33A93" w:rsidP="00064989">
            <w:pPr>
              <w:pStyle w:val="ListeParagraf"/>
              <w:numPr>
                <w:ilvl w:val="0"/>
                <w:numId w:val="3"/>
              </w:numPr>
              <w:tabs>
                <w:tab w:val="left" w:pos="217"/>
                <w:tab w:val="left" w:pos="501"/>
              </w:tabs>
              <w:jc w:val="both"/>
              <w:rPr>
                <w:color w:val="000000"/>
                <w:sz w:val="22"/>
                <w:szCs w:val="22"/>
                <w:lang w:eastAsia="en-US"/>
              </w:rPr>
            </w:pPr>
            <w:r>
              <w:rPr>
                <w:color w:val="000000"/>
                <w:sz w:val="22"/>
                <w:szCs w:val="22"/>
                <w:lang w:eastAsia="en-US"/>
              </w:rPr>
              <w:t>Birim</w:t>
            </w:r>
            <w:r w:rsidR="00CD6746" w:rsidRPr="00E33A93">
              <w:rPr>
                <w:color w:val="000000"/>
                <w:sz w:val="22"/>
                <w:szCs w:val="22"/>
                <w:lang w:eastAsia="en-US"/>
              </w:rPr>
              <w:t xml:space="preserve"> Kurulu, </w:t>
            </w:r>
            <w:r>
              <w:rPr>
                <w:color w:val="000000"/>
                <w:sz w:val="22"/>
                <w:szCs w:val="22"/>
                <w:lang w:eastAsia="en-US"/>
              </w:rPr>
              <w:t>Birim</w:t>
            </w:r>
            <w:r w:rsidR="00CD6746" w:rsidRPr="00E33A93">
              <w:rPr>
                <w:color w:val="000000"/>
                <w:sz w:val="22"/>
                <w:szCs w:val="22"/>
                <w:lang w:eastAsia="en-US"/>
              </w:rPr>
              <w:t xml:space="preserve"> Yönetim Kurulu ve Disiplin Kurulu Kararlarının bölümle ilgili maddelerinin yerine getirilmesini izlemek ve sağlamak, bu konuda bölüm başkanını bilgilendirmek</w:t>
            </w:r>
            <w:r>
              <w:rPr>
                <w:color w:val="000000"/>
                <w:sz w:val="22"/>
                <w:szCs w:val="22"/>
                <w:lang w:eastAsia="en-US"/>
              </w:rPr>
              <w:t>,</w:t>
            </w:r>
          </w:p>
          <w:p w14:paraId="4E3595F0"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Bölümle ilgili kurul çağrı ve kararlarını usulüne uygun yazmak, ilgililere duyurmak</w:t>
            </w:r>
            <w:r w:rsidR="00E33A93">
              <w:rPr>
                <w:color w:val="000000"/>
                <w:sz w:val="22"/>
                <w:szCs w:val="22"/>
                <w:lang w:eastAsia="en-US"/>
              </w:rPr>
              <w:t>,</w:t>
            </w:r>
          </w:p>
          <w:p w14:paraId="79288DAF"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Bölüme gelen ve giden evrakı usulüne uygun olarak kaydetmek, muhafaza etmek</w:t>
            </w:r>
            <w:r w:rsidR="00E33A93" w:rsidRPr="00E33A93">
              <w:rPr>
                <w:color w:val="000000"/>
                <w:sz w:val="22"/>
                <w:szCs w:val="22"/>
                <w:lang w:eastAsia="en-US"/>
              </w:rPr>
              <w:t>,</w:t>
            </w:r>
          </w:p>
          <w:p w14:paraId="101A9F3F" w14:textId="218D537C"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Bölümle ilgili yazışmaların düzenli bir şekilde yürütülmesi ve zamanında ilgili yerlere ulaşmasını sağlamak</w:t>
            </w:r>
            <w:r w:rsidR="00E33A93">
              <w:rPr>
                <w:color w:val="000000"/>
                <w:sz w:val="22"/>
                <w:szCs w:val="22"/>
                <w:lang w:eastAsia="en-US"/>
              </w:rPr>
              <w:t>,</w:t>
            </w:r>
          </w:p>
          <w:p w14:paraId="3610CD29"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Muafiyet dilekçelerinin anabilim dalı başkanı ve danışmanlar tarafından incelemesini sağlamak</w:t>
            </w:r>
            <w:r w:rsidR="00E33A93">
              <w:rPr>
                <w:color w:val="000000"/>
                <w:sz w:val="22"/>
                <w:szCs w:val="22"/>
                <w:lang w:eastAsia="en-US"/>
              </w:rPr>
              <w:t>,</w:t>
            </w:r>
            <w:r w:rsidRPr="00E33A93">
              <w:rPr>
                <w:color w:val="000000"/>
                <w:sz w:val="22"/>
                <w:szCs w:val="22"/>
                <w:lang w:eastAsia="en-US"/>
              </w:rPr>
              <w:t xml:space="preserve"> </w:t>
            </w:r>
          </w:p>
          <w:p w14:paraId="2D7DDBB5"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Öğrenciler ile ilgili gelen yazıları anabilim dalı başkanı, danışman ve dersin öğretim elemanlarına duyurmak, görüş istenen yazılara görüş yazısını yazmak</w:t>
            </w:r>
            <w:r w:rsidR="00E33A93">
              <w:rPr>
                <w:color w:val="000000"/>
                <w:sz w:val="22"/>
                <w:szCs w:val="22"/>
                <w:lang w:eastAsia="en-US"/>
              </w:rPr>
              <w:t>,</w:t>
            </w:r>
            <w:r w:rsidRPr="00E33A93">
              <w:rPr>
                <w:color w:val="000000"/>
                <w:sz w:val="22"/>
                <w:szCs w:val="22"/>
                <w:lang w:eastAsia="en-US"/>
              </w:rPr>
              <w:t xml:space="preserve">  </w:t>
            </w:r>
          </w:p>
          <w:p w14:paraId="37910AD7" w14:textId="5259B764"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Kurallara uygun yazılmış öğrenci dilekçelerini kontrol ederek almak, işleme koymak ve sonuçlandırma</w:t>
            </w:r>
            <w:r w:rsidR="00E33A93">
              <w:rPr>
                <w:color w:val="000000"/>
                <w:sz w:val="22"/>
                <w:szCs w:val="22"/>
                <w:lang w:eastAsia="en-US"/>
              </w:rPr>
              <w:t>k,</w:t>
            </w:r>
          </w:p>
          <w:p w14:paraId="7C1359BB" w14:textId="07F9727D"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 xml:space="preserve"> Bölümün fotokopi işlerini yürütmek, araç-gereç ve malzemeyi korumak, genel bakımlarının yapılmasını sağlamak</w:t>
            </w:r>
            <w:r w:rsidR="00E33A93">
              <w:rPr>
                <w:color w:val="000000"/>
                <w:sz w:val="22"/>
                <w:szCs w:val="22"/>
                <w:lang w:eastAsia="en-US"/>
              </w:rPr>
              <w:t>,</w:t>
            </w:r>
          </w:p>
          <w:p w14:paraId="4C51CEF1"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Ara sınav, yarıyıl sonu sınavı, mazeret, tek ders ve ek sınav iş ve işlemlerini yürütmek</w:t>
            </w:r>
            <w:r w:rsidR="00E33A93">
              <w:rPr>
                <w:color w:val="000000"/>
                <w:sz w:val="22"/>
                <w:szCs w:val="22"/>
                <w:lang w:eastAsia="en-US"/>
              </w:rPr>
              <w:t>,</w:t>
            </w:r>
          </w:p>
          <w:p w14:paraId="45AB0063" w14:textId="77777777" w:rsidR="00E33A93" w:rsidRDefault="00CD6746" w:rsidP="00E33A93">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 xml:space="preserve">İlk kayıt, kayıt yenileme, kayıt dondurma ve derse yazılma işlemlerini yürütmek,  </w:t>
            </w:r>
          </w:p>
          <w:p w14:paraId="0AAF50AF"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Öğretim elemanlarının yurt içi ve dışı bilimsel toplantılara katılması, inceleme, araştırma ve uygulama yapmak üzere görevlendirmesi işlemlerinin yapılması,</w:t>
            </w:r>
          </w:p>
          <w:p w14:paraId="60EC693A" w14:textId="73666A43"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Ek ders ve sınav puantajlarını hazırlamak, zamanında mali işler bürosuna göndermek</w:t>
            </w:r>
            <w:r w:rsidR="00E33A93">
              <w:rPr>
                <w:color w:val="000000"/>
                <w:sz w:val="22"/>
                <w:szCs w:val="22"/>
                <w:lang w:eastAsia="en-US"/>
              </w:rPr>
              <w:t>,</w:t>
            </w:r>
          </w:p>
          <w:p w14:paraId="5DB49FAF"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 xml:space="preserve"> Rapor ve özrü bulunan öğrencileri bölüm başkanına veya yardımcısına bildirmek</w:t>
            </w:r>
            <w:r w:rsidR="00E33A93">
              <w:rPr>
                <w:color w:val="000000"/>
                <w:sz w:val="22"/>
                <w:szCs w:val="22"/>
                <w:lang w:eastAsia="en-US"/>
              </w:rPr>
              <w:t>,</w:t>
            </w:r>
            <w:r w:rsidRPr="00E33A93">
              <w:rPr>
                <w:color w:val="000000"/>
                <w:sz w:val="22"/>
                <w:szCs w:val="22"/>
                <w:lang w:eastAsia="en-US"/>
              </w:rPr>
              <w:t xml:space="preserve">  </w:t>
            </w:r>
          </w:p>
          <w:p w14:paraId="2C685CFA" w14:textId="77777777" w:rsidR="00E33A93"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Bölüme ya da kişilere ait her türlü bilgi ve belgeyi korumak, Bölüm başkanının onayı olmadan ilgisiz kişilere bilgi, belge ve malzeme vermekten kaçınma</w:t>
            </w:r>
            <w:r w:rsidR="00E33A93">
              <w:rPr>
                <w:color w:val="000000"/>
                <w:sz w:val="22"/>
                <w:szCs w:val="22"/>
                <w:lang w:eastAsia="en-US"/>
              </w:rPr>
              <w:t>k,</w:t>
            </w:r>
          </w:p>
          <w:p w14:paraId="4504260F" w14:textId="77777777" w:rsidR="00E66B49" w:rsidRDefault="00CD6746" w:rsidP="00064989">
            <w:pPr>
              <w:pStyle w:val="ListeParagraf"/>
              <w:numPr>
                <w:ilvl w:val="0"/>
                <w:numId w:val="3"/>
              </w:numPr>
              <w:tabs>
                <w:tab w:val="left" w:pos="217"/>
                <w:tab w:val="left" w:pos="501"/>
              </w:tabs>
              <w:jc w:val="both"/>
              <w:rPr>
                <w:color w:val="000000"/>
                <w:sz w:val="22"/>
                <w:szCs w:val="22"/>
                <w:lang w:eastAsia="en-US"/>
              </w:rPr>
            </w:pPr>
            <w:r w:rsidRPr="00E33A93">
              <w:rPr>
                <w:color w:val="000000"/>
                <w:sz w:val="22"/>
                <w:szCs w:val="22"/>
                <w:lang w:eastAsia="en-US"/>
              </w:rPr>
              <w:t>Bölümün kırtasiye ve demirbaş eşya ihtiyaçlarının zamanında temin edilmesini sağlamak</w:t>
            </w:r>
            <w:r w:rsidR="00E33A93">
              <w:rPr>
                <w:color w:val="000000"/>
                <w:sz w:val="22"/>
                <w:szCs w:val="22"/>
                <w:lang w:eastAsia="en-US"/>
              </w:rPr>
              <w:t>,</w:t>
            </w:r>
          </w:p>
          <w:p w14:paraId="20BCB1F1" w14:textId="77777777" w:rsidR="00E66B49" w:rsidRDefault="00CD6746" w:rsidP="00064989">
            <w:pPr>
              <w:pStyle w:val="ListeParagraf"/>
              <w:numPr>
                <w:ilvl w:val="0"/>
                <w:numId w:val="3"/>
              </w:numPr>
              <w:tabs>
                <w:tab w:val="left" w:pos="217"/>
                <w:tab w:val="left" w:pos="501"/>
              </w:tabs>
              <w:jc w:val="both"/>
              <w:rPr>
                <w:color w:val="000000"/>
                <w:sz w:val="22"/>
                <w:szCs w:val="22"/>
                <w:lang w:eastAsia="en-US"/>
              </w:rPr>
            </w:pPr>
            <w:r w:rsidRPr="00E66B49">
              <w:rPr>
                <w:color w:val="000000"/>
                <w:sz w:val="22"/>
                <w:szCs w:val="22"/>
                <w:lang w:eastAsia="en-US"/>
              </w:rPr>
              <w:t>Çalışma sırasında çabukluk, gizlilik ve doğruluk ilkelerinden ayrılmamak</w:t>
            </w:r>
            <w:r w:rsidR="00E66B49">
              <w:rPr>
                <w:color w:val="000000"/>
                <w:sz w:val="22"/>
                <w:szCs w:val="22"/>
                <w:lang w:eastAsia="en-US"/>
              </w:rPr>
              <w:t>,</w:t>
            </w:r>
          </w:p>
          <w:p w14:paraId="19253615" w14:textId="1D1F2FE1" w:rsidR="00E66B49" w:rsidRDefault="00CD6746" w:rsidP="00064989">
            <w:pPr>
              <w:pStyle w:val="ListeParagraf"/>
              <w:numPr>
                <w:ilvl w:val="0"/>
                <w:numId w:val="3"/>
              </w:numPr>
              <w:tabs>
                <w:tab w:val="left" w:pos="217"/>
                <w:tab w:val="left" w:pos="501"/>
              </w:tabs>
              <w:jc w:val="both"/>
              <w:rPr>
                <w:color w:val="000000"/>
                <w:sz w:val="22"/>
                <w:szCs w:val="22"/>
                <w:lang w:eastAsia="en-US"/>
              </w:rPr>
            </w:pPr>
            <w:r w:rsidRPr="00E66B49">
              <w:rPr>
                <w:color w:val="000000"/>
                <w:sz w:val="22"/>
                <w:szCs w:val="22"/>
                <w:lang w:eastAsia="en-US"/>
              </w:rPr>
              <w:t xml:space="preserve"> İş verimliliği ve barışı açısından diğer birimlerle uyum içerisinde çalışmaya gayret etmek</w:t>
            </w:r>
            <w:r w:rsidR="00E66B49">
              <w:rPr>
                <w:color w:val="000000"/>
                <w:sz w:val="22"/>
                <w:szCs w:val="22"/>
                <w:lang w:eastAsia="en-US"/>
              </w:rPr>
              <w:t>,</w:t>
            </w:r>
            <w:r w:rsidRPr="00E66B49">
              <w:rPr>
                <w:color w:val="000000"/>
                <w:sz w:val="22"/>
                <w:szCs w:val="22"/>
                <w:lang w:eastAsia="en-US"/>
              </w:rPr>
              <w:t xml:space="preserve"> </w:t>
            </w:r>
          </w:p>
          <w:p w14:paraId="7DAEFA9E" w14:textId="77777777" w:rsidR="00E66B49" w:rsidRDefault="00CD6746" w:rsidP="00064989">
            <w:pPr>
              <w:pStyle w:val="ListeParagraf"/>
              <w:numPr>
                <w:ilvl w:val="0"/>
                <w:numId w:val="3"/>
              </w:numPr>
              <w:tabs>
                <w:tab w:val="left" w:pos="217"/>
                <w:tab w:val="left" w:pos="501"/>
              </w:tabs>
              <w:jc w:val="both"/>
              <w:rPr>
                <w:color w:val="000000"/>
                <w:sz w:val="22"/>
                <w:szCs w:val="22"/>
                <w:lang w:eastAsia="en-US"/>
              </w:rPr>
            </w:pPr>
            <w:r w:rsidRPr="00E66B49">
              <w:rPr>
                <w:color w:val="000000"/>
                <w:sz w:val="22"/>
                <w:szCs w:val="22"/>
                <w:lang w:eastAsia="en-US"/>
              </w:rPr>
              <w:t>Bölüm ile ilgili raporları hazırlamak, bunlar için temel teşkil eden istatistikî bilgileri tutmak</w:t>
            </w:r>
            <w:r w:rsidR="00E66B49">
              <w:rPr>
                <w:color w:val="000000"/>
                <w:sz w:val="22"/>
                <w:szCs w:val="22"/>
                <w:lang w:eastAsia="en-US"/>
              </w:rPr>
              <w:t>,</w:t>
            </w:r>
            <w:r w:rsidRPr="00E66B49">
              <w:rPr>
                <w:color w:val="000000"/>
                <w:sz w:val="22"/>
                <w:szCs w:val="22"/>
                <w:lang w:eastAsia="en-US"/>
              </w:rPr>
              <w:t xml:space="preserve"> </w:t>
            </w:r>
          </w:p>
          <w:p w14:paraId="4AC8B7E6" w14:textId="410AA3A8" w:rsidR="00E66B49" w:rsidRDefault="00CD6746" w:rsidP="00064989">
            <w:pPr>
              <w:pStyle w:val="ListeParagraf"/>
              <w:numPr>
                <w:ilvl w:val="0"/>
                <w:numId w:val="3"/>
              </w:numPr>
              <w:tabs>
                <w:tab w:val="left" w:pos="217"/>
                <w:tab w:val="left" w:pos="501"/>
              </w:tabs>
              <w:jc w:val="both"/>
              <w:rPr>
                <w:color w:val="000000"/>
                <w:sz w:val="22"/>
                <w:szCs w:val="22"/>
                <w:lang w:eastAsia="en-US"/>
              </w:rPr>
            </w:pPr>
            <w:r w:rsidRPr="00E66B49">
              <w:rPr>
                <w:color w:val="000000"/>
                <w:sz w:val="22"/>
                <w:szCs w:val="22"/>
                <w:lang w:eastAsia="en-US"/>
              </w:rPr>
              <w:lastRenderedPageBreak/>
              <w:t>Yazışmaları “Resmi Yazışmalarda Uygulanacak Esas ve Usuller Hakkındaki Yönetmelik” Resmi Yazışma Kurallarına uygun olarak düzenlemek, imzaya çıkacak yazıları hazırlamak, ilgili yerlere ulaşmasını sağlamak</w:t>
            </w:r>
            <w:r w:rsidR="00E66B49">
              <w:rPr>
                <w:color w:val="000000"/>
                <w:sz w:val="22"/>
                <w:szCs w:val="22"/>
                <w:lang w:eastAsia="en-US"/>
              </w:rPr>
              <w:t>,</w:t>
            </w:r>
          </w:p>
          <w:p w14:paraId="7351E11E" w14:textId="77777777" w:rsidR="00E66B49" w:rsidRDefault="00CD6746" w:rsidP="00064989">
            <w:pPr>
              <w:pStyle w:val="ListeParagraf"/>
              <w:numPr>
                <w:ilvl w:val="0"/>
                <w:numId w:val="3"/>
              </w:numPr>
              <w:tabs>
                <w:tab w:val="left" w:pos="217"/>
                <w:tab w:val="left" w:pos="501"/>
              </w:tabs>
              <w:jc w:val="both"/>
              <w:rPr>
                <w:color w:val="000000"/>
                <w:sz w:val="22"/>
                <w:szCs w:val="22"/>
                <w:lang w:eastAsia="en-US"/>
              </w:rPr>
            </w:pPr>
            <w:r w:rsidRPr="00E66B49">
              <w:rPr>
                <w:color w:val="000000"/>
                <w:sz w:val="22"/>
                <w:szCs w:val="22"/>
                <w:lang w:eastAsia="en-US"/>
              </w:rPr>
              <w:t>Yapılan iş ve işlemlerde üst yöneticileri bilgilendirmek, yapılamayan işleri gerekçeleri ile birlikte açıklamak</w:t>
            </w:r>
            <w:r w:rsidR="00E66B49">
              <w:rPr>
                <w:color w:val="000000"/>
                <w:sz w:val="22"/>
                <w:szCs w:val="22"/>
                <w:lang w:eastAsia="en-US"/>
              </w:rPr>
              <w:t>,</w:t>
            </w:r>
          </w:p>
          <w:p w14:paraId="3970335E" w14:textId="77777777" w:rsidR="00E66B49" w:rsidRDefault="00CD6746" w:rsidP="00064989">
            <w:pPr>
              <w:pStyle w:val="ListeParagraf"/>
              <w:numPr>
                <w:ilvl w:val="0"/>
                <w:numId w:val="3"/>
              </w:numPr>
              <w:tabs>
                <w:tab w:val="left" w:pos="217"/>
                <w:tab w:val="left" w:pos="501"/>
              </w:tabs>
              <w:jc w:val="both"/>
              <w:rPr>
                <w:color w:val="000000"/>
                <w:sz w:val="22"/>
                <w:szCs w:val="22"/>
                <w:lang w:eastAsia="en-US"/>
              </w:rPr>
            </w:pPr>
            <w:r w:rsidRPr="00E66B49">
              <w:rPr>
                <w:color w:val="000000"/>
                <w:sz w:val="22"/>
                <w:szCs w:val="22"/>
                <w:lang w:eastAsia="en-US"/>
              </w:rPr>
              <w:t>Öğrenci işleri bürosu ile koordineli çalışmak, bulunmadığı zamanlarda öğrenci işleri bürosunun işlerini yürütmek</w:t>
            </w:r>
            <w:r w:rsidR="00E66B49">
              <w:rPr>
                <w:color w:val="000000"/>
                <w:sz w:val="22"/>
                <w:szCs w:val="22"/>
                <w:lang w:eastAsia="en-US"/>
              </w:rPr>
              <w:t>,</w:t>
            </w:r>
          </w:p>
          <w:p w14:paraId="6FE6D190" w14:textId="254B4700" w:rsidR="00E66B49" w:rsidRDefault="00CD6746" w:rsidP="00064989">
            <w:pPr>
              <w:pStyle w:val="ListeParagraf"/>
              <w:numPr>
                <w:ilvl w:val="0"/>
                <w:numId w:val="3"/>
              </w:numPr>
              <w:tabs>
                <w:tab w:val="left" w:pos="217"/>
                <w:tab w:val="left" w:pos="501"/>
              </w:tabs>
              <w:jc w:val="both"/>
              <w:rPr>
                <w:color w:val="000000"/>
                <w:sz w:val="22"/>
                <w:szCs w:val="22"/>
                <w:lang w:eastAsia="en-US"/>
              </w:rPr>
            </w:pPr>
            <w:r w:rsidRPr="00E66B49">
              <w:rPr>
                <w:color w:val="000000"/>
                <w:sz w:val="22"/>
                <w:szCs w:val="22"/>
                <w:lang w:eastAsia="en-US"/>
              </w:rPr>
              <w:t>Çalışma ortamında iş sağlığı ve güvenliği ile ilgili hususlara dikkat etmek, mevcut elektrikli aletlerde gerekli kontrolleri yapmak, kapı-pencerelerin mesai dışı saatlerde kapalı tutulmasını sağlamak.  Bağlı olduğu süreç ile üst yöneticileri tarafından verilen diğer iş ve işlemleri yapmak</w:t>
            </w:r>
            <w:r w:rsidR="00E66B49">
              <w:rPr>
                <w:color w:val="000000"/>
                <w:sz w:val="22"/>
                <w:szCs w:val="22"/>
                <w:lang w:eastAsia="en-US"/>
              </w:rPr>
              <w:t>,</w:t>
            </w:r>
          </w:p>
          <w:p w14:paraId="3465996C" w14:textId="206F7BA3" w:rsidR="00CD6746" w:rsidRPr="00E66B49" w:rsidRDefault="00CD6746" w:rsidP="00064989">
            <w:pPr>
              <w:pStyle w:val="ListeParagraf"/>
              <w:numPr>
                <w:ilvl w:val="0"/>
                <w:numId w:val="3"/>
              </w:numPr>
              <w:tabs>
                <w:tab w:val="left" w:pos="217"/>
                <w:tab w:val="left" w:pos="501"/>
              </w:tabs>
              <w:jc w:val="both"/>
              <w:rPr>
                <w:color w:val="000000"/>
                <w:sz w:val="22"/>
                <w:szCs w:val="22"/>
                <w:lang w:eastAsia="en-US"/>
              </w:rPr>
            </w:pPr>
            <w:r w:rsidRPr="00E66B49">
              <w:rPr>
                <w:color w:val="000000"/>
                <w:sz w:val="22"/>
                <w:szCs w:val="22"/>
                <w:lang w:eastAsia="en-US"/>
              </w:rPr>
              <w:t>Görev alanı itibariyle yürütmekle yükümlü bulunduğu hizmetlerin yerine getirilmesinden dolayı amirlerine karşı sorumludur.</w:t>
            </w:r>
          </w:p>
        </w:tc>
      </w:tr>
    </w:tbl>
    <w:p w14:paraId="0C7BE0D1" w14:textId="77777777" w:rsidR="004D2120" w:rsidRPr="007C1C31" w:rsidRDefault="004D2120" w:rsidP="004D2120">
      <w:pPr>
        <w:ind w:right="253"/>
        <w:rPr>
          <w:b/>
          <w:bCs/>
          <w:sz w:val="22"/>
          <w:szCs w:val="22"/>
        </w:rPr>
      </w:pPr>
    </w:p>
    <w:p w14:paraId="7FFF3D98" w14:textId="77777777" w:rsidR="004D2120" w:rsidRDefault="004D2120" w:rsidP="004D2120"/>
    <w:sectPr w:rsidR="004D21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A1547" w14:textId="77777777" w:rsidR="00185249" w:rsidRDefault="00185249" w:rsidP="009B3098">
      <w:r>
        <w:separator/>
      </w:r>
    </w:p>
  </w:endnote>
  <w:endnote w:type="continuationSeparator" w:id="0">
    <w:p w14:paraId="6B4940E8" w14:textId="77777777" w:rsidR="00185249" w:rsidRDefault="00185249" w:rsidP="009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02D7" w14:textId="77777777" w:rsidR="006B026D" w:rsidRDefault="006B026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147" w:tblpY="206"/>
      <w:tblW w:w="992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90"/>
      <w:gridCol w:w="3800"/>
      <w:gridCol w:w="2838"/>
    </w:tblGrid>
    <w:tr w:rsidR="003F0071" w:rsidRPr="00995BEA" w14:paraId="260E504D" w14:textId="77777777" w:rsidTr="002B6341">
      <w:trPr>
        <w:trHeight w:val="554"/>
      </w:trPr>
      <w:tc>
        <w:tcPr>
          <w:tcW w:w="3290" w:type="dxa"/>
          <w:shd w:val="clear" w:color="auto" w:fill="A6A6A6"/>
        </w:tcPr>
        <w:p w14:paraId="6F4EB8E5" w14:textId="77777777" w:rsidR="003F0071" w:rsidRPr="00995BEA" w:rsidRDefault="003F0071" w:rsidP="003F0071">
          <w:pPr>
            <w:pStyle w:val="TableParagraph"/>
            <w:spacing w:before="1"/>
            <w:ind w:left="840" w:right="831"/>
            <w:jc w:val="center"/>
            <w:rPr>
              <w:rFonts w:eastAsia="Calibri"/>
              <w:b/>
              <w:sz w:val="16"/>
            </w:rPr>
          </w:pPr>
          <w:r w:rsidRPr="00995BEA">
            <w:rPr>
              <w:rFonts w:eastAsia="Calibri"/>
              <w:b/>
              <w:sz w:val="16"/>
            </w:rPr>
            <w:t>Hazırlayan</w:t>
          </w:r>
        </w:p>
        <w:p w14:paraId="3A180F52" w14:textId="77777777" w:rsidR="003F0071" w:rsidRPr="00995BEA" w:rsidRDefault="003F0071" w:rsidP="003F0071">
          <w:pPr>
            <w:pStyle w:val="TableParagraph"/>
            <w:ind w:left="0"/>
            <w:rPr>
              <w:rFonts w:eastAsia="Calibri"/>
              <w:sz w:val="16"/>
            </w:rPr>
          </w:pPr>
        </w:p>
        <w:p w14:paraId="48108672" w14:textId="77777777" w:rsidR="003F0071" w:rsidRPr="00995BEA" w:rsidRDefault="003F0071" w:rsidP="003F0071">
          <w:pPr>
            <w:pStyle w:val="TableParagraph"/>
            <w:spacing w:line="165" w:lineRule="exact"/>
            <w:ind w:right="832"/>
            <w:rPr>
              <w:rFonts w:eastAsia="Calibri"/>
              <w:b/>
              <w:sz w:val="16"/>
            </w:rPr>
          </w:pPr>
          <w:r>
            <w:rPr>
              <w:rFonts w:eastAsia="Calibri"/>
              <w:b/>
              <w:sz w:val="16"/>
            </w:rPr>
            <w:t xml:space="preserve">                 </w:t>
          </w:r>
          <w:r w:rsidRPr="00995BEA">
            <w:rPr>
              <w:rFonts w:eastAsia="Calibri"/>
              <w:b/>
              <w:sz w:val="16"/>
            </w:rPr>
            <w:t>Kalite</w:t>
          </w:r>
          <w:r w:rsidRPr="00995BEA">
            <w:rPr>
              <w:rFonts w:eastAsia="Calibri"/>
              <w:b/>
              <w:spacing w:val="-1"/>
              <w:sz w:val="16"/>
            </w:rPr>
            <w:t xml:space="preserve"> </w:t>
          </w:r>
          <w:r w:rsidRPr="00995BEA">
            <w:rPr>
              <w:rFonts w:eastAsia="Calibri"/>
              <w:b/>
              <w:sz w:val="16"/>
            </w:rPr>
            <w:t>Ko</w:t>
          </w:r>
          <w:r>
            <w:rPr>
              <w:rFonts w:eastAsia="Calibri"/>
              <w:b/>
              <w:sz w:val="16"/>
            </w:rPr>
            <w:t>ordinatörlüğü</w:t>
          </w:r>
        </w:p>
      </w:tc>
      <w:tc>
        <w:tcPr>
          <w:tcW w:w="3800" w:type="dxa"/>
          <w:shd w:val="clear" w:color="auto" w:fill="A6A6A6"/>
        </w:tcPr>
        <w:p w14:paraId="3D028C18" w14:textId="77777777" w:rsidR="003F0071" w:rsidRPr="00995BEA" w:rsidRDefault="003F0071" w:rsidP="003F0071">
          <w:pPr>
            <w:pStyle w:val="TableParagraph"/>
            <w:spacing w:before="1"/>
            <w:ind w:left="1072" w:right="1060"/>
            <w:jc w:val="center"/>
            <w:rPr>
              <w:rFonts w:eastAsia="Calibri"/>
              <w:b/>
              <w:sz w:val="16"/>
            </w:rPr>
          </w:pPr>
          <w:r w:rsidRPr="00995BEA">
            <w:rPr>
              <w:rFonts w:eastAsia="Calibri"/>
              <w:b/>
              <w:sz w:val="16"/>
            </w:rPr>
            <w:t>Doküman</w:t>
          </w:r>
          <w:r w:rsidRPr="00995BEA">
            <w:rPr>
              <w:rFonts w:eastAsia="Calibri"/>
              <w:b/>
              <w:spacing w:val="-3"/>
              <w:sz w:val="16"/>
            </w:rPr>
            <w:t xml:space="preserve"> </w:t>
          </w:r>
          <w:r w:rsidRPr="00995BEA">
            <w:rPr>
              <w:rFonts w:eastAsia="Calibri"/>
              <w:b/>
              <w:sz w:val="16"/>
            </w:rPr>
            <w:t>Onay</w:t>
          </w:r>
        </w:p>
        <w:p w14:paraId="25C555E7" w14:textId="77777777" w:rsidR="003F0071" w:rsidRPr="00995BEA" w:rsidRDefault="003F0071" w:rsidP="003F0071">
          <w:pPr>
            <w:pStyle w:val="TableParagraph"/>
            <w:ind w:left="0"/>
            <w:rPr>
              <w:rFonts w:eastAsia="Calibri"/>
              <w:sz w:val="16"/>
            </w:rPr>
          </w:pPr>
        </w:p>
        <w:p w14:paraId="1E7D48F3" w14:textId="77777777" w:rsidR="003F0071" w:rsidRPr="00995BEA" w:rsidRDefault="003F0071" w:rsidP="003F0071">
          <w:pPr>
            <w:pStyle w:val="TableParagraph"/>
            <w:spacing w:line="165" w:lineRule="exact"/>
            <w:ind w:left="1072" w:right="1060"/>
            <w:jc w:val="center"/>
            <w:rPr>
              <w:rFonts w:eastAsia="Calibri"/>
              <w:b/>
              <w:sz w:val="16"/>
            </w:rPr>
          </w:pPr>
          <w:r w:rsidRPr="00995BEA">
            <w:rPr>
              <w:rFonts w:eastAsia="Calibri"/>
              <w:b/>
              <w:sz w:val="16"/>
            </w:rPr>
            <w:t>Kalite</w:t>
          </w:r>
          <w:r w:rsidRPr="00995BEA">
            <w:rPr>
              <w:rFonts w:eastAsia="Calibri"/>
              <w:b/>
              <w:spacing w:val="-5"/>
              <w:sz w:val="16"/>
            </w:rPr>
            <w:t xml:space="preserve"> </w:t>
          </w:r>
          <w:r w:rsidRPr="00995BEA">
            <w:rPr>
              <w:rFonts w:eastAsia="Calibri"/>
              <w:b/>
              <w:sz w:val="16"/>
            </w:rPr>
            <w:t>Koordinatörlüğü</w:t>
          </w:r>
        </w:p>
      </w:tc>
      <w:tc>
        <w:tcPr>
          <w:tcW w:w="2838" w:type="dxa"/>
          <w:shd w:val="clear" w:color="auto" w:fill="A6A6A6"/>
        </w:tcPr>
        <w:p w14:paraId="47645770" w14:textId="77777777" w:rsidR="003F0071" w:rsidRPr="00995BEA" w:rsidRDefault="003F0071" w:rsidP="003F0071">
          <w:pPr>
            <w:pStyle w:val="TableParagraph"/>
            <w:spacing w:before="1"/>
            <w:ind w:left="410" w:right="401"/>
            <w:jc w:val="center"/>
            <w:rPr>
              <w:rFonts w:eastAsia="Calibri"/>
              <w:b/>
              <w:sz w:val="16"/>
            </w:rPr>
          </w:pPr>
          <w:r w:rsidRPr="00995BEA">
            <w:rPr>
              <w:rFonts w:eastAsia="Calibri"/>
              <w:b/>
              <w:sz w:val="16"/>
            </w:rPr>
            <w:t>Yürürlük</w:t>
          </w:r>
          <w:r w:rsidRPr="00995BEA">
            <w:rPr>
              <w:rFonts w:eastAsia="Calibri"/>
              <w:b/>
              <w:spacing w:val="-3"/>
              <w:sz w:val="16"/>
            </w:rPr>
            <w:t xml:space="preserve"> </w:t>
          </w:r>
          <w:r w:rsidRPr="00995BEA">
            <w:rPr>
              <w:rFonts w:eastAsia="Calibri"/>
              <w:b/>
              <w:sz w:val="16"/>
            </w:rPr>
            <w:t>Onay</w:t>
          </w:r>
        </w:p>
        <w:p w14:paraId="6F7B3043" w14:textId="77777777" w:rsidR="003F0071" w:rsidRPr="00995BEA" w:rsidRDefault="003F0071" w:rsidP="003F0071">
          <w:pPr>
            <w:pStyle w:val="TableParagraph"/>
            <w:ind w:left="0"/>
            <w:rPr>
              <w:rFonts w:eastAsia="Calibri"/>
              <w:sz w:val="16"/>
            </w:rPr>
          </w:pPr>
        </w:p>
        <w:p w14:paraId="63F76C9B" w14:textId="77777777" w:rsidR="003F0071" w:rsidRPr="00995BEA" w:rsidRDefault="003F0071" w:rsidP="003F0071">
          <w:pPr>
            <w:pStyle w:val="TableParagraph"/>
            <w:spacing w:line="165" w:lineRule="exact"/>
            <w:ind w:left="410" w:right="402"/>
            <w:jc w:val="center"/>
            <w:rPr>
              <w:rFonts w:eastAsia="Calibri"/>
              <w:b/>
              <w:sz w:val="16"/>
            </w:rPr>
          </w:pPr>
          <w:r w:rsidRPr="00995BEA">
            <w:rPr>
              <w:rFonts w:eastAsia="Calibri"/>
              <w:b/>
              <w:sz w:val="16"/>
            </w:rPr>
            <w:t>Üniversite</w:t>
          </w:r>
          <w:r w:rsidRPr="00995BEA">
            <w:rPr>
              <w:rFonts w:eastAsia="Calibri"/>
              <w:b/>
              <w:spacing w:val="-6"/>
              <w:sz w:val="16"/>
            </w:rPr>
            <w:t xml:space="preserve"> </w:t>
          </w:r>
          <w:r w:rsidRPr="00995BEA">
            <w:rPr>
              <w:rFonts w:eastAsia="Calibri"/>
              <w:b/>
              <w:sz w:val="16"/>
            </w:rPr>
            <w:t>Kalite</w:t>
          </w:r>
          <w:r w:rsidRPr="00995BEA">
            <w:rPr>
              <w:rFonts w:eastAsia="Calibri"/>
              <w:b/>
              <w:spacing w:val="-2"/>
              <w:sz w:val="16"/>
            </w:rPr>
            <w:t xml:space="preserve"> </w:t>
          </w:r>
          <w:r w:rsidRPr="00995BEA">
            <w:rPr>
              <w:rFonts w:eastAsia="Calibri"/>
              <w:b/>
              <w:sz w:val="16"/>
            </w:rPr>
            <w:t>Komisyonu</w:t>
          </w:r>
        </w:p>
      </w:tc>
    </w:tr>
  </w:tbl>
  <w:p w14:paraId="00A631B0" w14:textId="07D46641" w:rsidR="009B3098" w:rsidRDefault="009B309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51E4" w14:textId="77777777" w:rsidR="006B026D" w:rsidRDefault="006B02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3940B" w14:textId="77777777" w:rsidR="00185249" w:rsidRDefault="00185249" w:rsidP="009B3098">
      <w:r>
        <w:separator/>
      </w:r>
    </w:p>
  </w:footnote>
  <w:footnote w:type="continuationSeparator" w:id="0">
    <w:p w14:paraId="25E69E0A" w14:textId="77777777" w:rsidR="00185249" w:rsidRDefault="00185249" w:rsidP="009B30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7FD7" w14:textId="77777777" w:rsidR="006B026D" w:rsidRDefault="006B026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BA46" w14:textId="19D436F3" w:rsidR="00E33A93" w:rsidRDefault="00E33A93">
    <w:pPr>
      <w:pStyle w:val="stBilgi"/>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62"/>
      <w:gridCol w:w="3438"/>
      <w:gridCol w:w="1697"/>
      <w:gridCol w:w="1169"/>
    </w:tblGrid>
    <w:tr w:rsidR="00E33A93" w:rsidRPr="007C1C31" w14:paraId="4870CDB4" w14:textId="77777777" w:rsidTr="0049587A">
      <w:trPr>
        <w:trHeight w:val="425"/>
      </w:trPr>
      <w:tc>
        <w:tcPr>
          <w:tcW w:w="1744" w:type="dxa"/>
          <w:vMerge w:val="restart"/>
          <w:shd w:val="clear" w:color="auto" w:fill="auto"/>
        </w:tcPr>
        <w:p w14:paraId="0CDF0020" w14:textId="77777777" w:rsidR="00E33A93" w:rsidRPr="007C1C31" w:rsidRDefault="00E33A93" w:rsidP="00E33A93">
          <w:pPr>
            <w:jc w:val="center"/>
            <w:rPr>
              <w:sz w:val="22"/>
              <w:szCs w:val="22"/>
            </w:rPr>
          </w:pPr>
          <w:r w:rsidRPr="007C1C31">
            <w:rPr>
              <w:noProof/>
              <w:sz w:val="22"/>
              <w:szCs w:val="22"/>
            </w:rPr>
            <w:drawing>
              <wp:anchor distT="0" distB="0" distL="114300" distR="114300" simplePos="0" relativeHeight="251659264" behindDoc="0" locked="0" layoutInCell="1" allowOverlap="1" wp14:anchorId="1A6A3E87" wp14:editId="78ED824D">
                <wp:simplePos x="0" y="0"/>
                <wp:positionH relativeFrom="column">
                  <wp:posOffset>8890</wp:posOffset>
                </wp:positionH>
                <wp:positionV relativeFrom="paragraph">
                  <wp:posOffset>160020</wp:posOffset>
                </wp:positionV>
                <wp:extent cx="923290" cy="588010"/>
                <wp:effectExtent l="0" t="0" r="0" b="2540"/>
                <wp:wrapNone/>
                <wp:docPr id="16145709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290" cy="588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6" w:type="dxa"/>
          <w:gridSpan w:val="4"/>
          <w:shd w:val="clear" w:color="auto" w:fill="auto"/>
          <w:vAlign w:val="center"/>
        </w:tcPr>
        <w:p w14:paraId="6214864B" w14:textId="77777777" w:rsidR="00E33A93" w:rsidRPr="009351F8" w:rsidRDefault="00E33A93" w:rsidP="00E33A93">
          <w:pPr>
            <w:jc w:val="center"/>
            <w:rPr>
              <w:bCs/>
              <w:sz w:val="22"/>
              <w:szCs w:val="22"/>
            </w:rPr>
          </w:pPr>
          <w:r w:rsidRPr="009351F8">
            <w:rPr>
              <w:bCs/>
              <w:sz w:val="22"/>
              <w:szCs w:val="22"/>
            </w:rPr>
            <w:t>BÖLÜM SEKRETERİ GÖREV TANIMI</w:t>
          </w:r>
        </w:p>
      </w:tc>
    </w:tr>
    <w:tr w:rsidR="00E33A93" w:rsidRPr="007C1C31" w14:paraId="03FEE30D" w14:textId="77777777" w:rsidTr="0049587A">
      <w:trPr>
        <w:trHeight w:hRule="exact" w:val="312"/>
      </w:trPr>
      <w:tc>
        <w:tcPr>
          <w:tcW w:w="1744" w:type="dxa"/>
          <w:vMerge/>
          <w:shd w:val="clear" w:color="auto" w:fill="auto"/>
        </w:tcPr>
        <w:p w14:paraId="2A903FCB" w14:textId="77777777" w:rsidR="00E33A93" w:rsidRPr="007C1C31" w:rsidRDefault="00E33A93" w:rsidP="00E33A93">
          <w:pPr>
            <w:rPr>
              <w:sz w:val="22"/>
              <w:szCs w:val="22"/>
            </w:rPr>
          </w:pPr>
        </w:p>
      </w:tc>
      <w:tc>
        <w:tcPr>
          <w:tcW w:w="1762" w:type="dxa"/>
          <w:shd w:val="clear" w:color="auto" w:fill="auto"/>
        </w:tcPr>
        <w:p w14:paraId="7AEC1A92" w14:textId="77777777" w:rsidR="00E33A93" w:rsidRPr="007C1C31" w:rsidRDefault="00E33A93" w:rsidP="00E33A93">
          <w:pPr>
            <w:rPr>
              <w:sz w:val="22"/>
              <w:szCs w:val="22"/>
            </w:rPr>
          </w:pPr>
          <w:r w:rsidRPr="007C1C31">
            <w:rPr>
              <w:sz w:val="22"/>
              <w:szCs w:val="22"/>
            </w:rPr>
            <w:t>Doküman No</w:t>
          </w:r>
        </w:p>
      </w:tc>
      <w:tc>
        <w:tcPr>
          <w:tcW w:w="3438" w:type="dxa"/>
          <w:shd w:val="clear" w:color="auto" w:fill="auto"/>
        </w:tcPr>
        <w:p w14:paraId="4EC44C59" w14:textId="2D41B8CA" w:rsidR="00E33A93" w:rsidRPr="007C1C31" w:rsidRDefault="00E33A93" w:rsidP="00E33A93">
          <w:pPr>
            <w:spacing w:after="200" w:line="276" w:lineRule="auto"/>
            <w:rPr>
              <w:rFonts w:eastAsia="Calibri"/>
              <w:sz w:val="22"/>
              <w:szCs w:val="22"/>
              <w:lang w:eastAsia="en-US"/>
            </w:rPr>
          </w:pPr>
          <w:r w:rsidRPr="00F37FD6">
            <w:rPr>
              <w:rFonts w:eastAsia="Calibri"/>
              <w:sz w:val="22"/>
              <w:szCs w:val="22"/>
              <w:lang w:eastAsia="en-US"/>
            </w:rPr>
            <w:t>GRT-0</w:t>
          </w:r>
          <w:r>
            <w:rPr>
              <w:rFonts w:eastAsia="Calibri"/>
              <w:sz w:val="22"/>
              <w:szCs w:val="22"/>
              <w:lang w:eastAsia="en-US"/>
            </w:rPr>
            <w:t>2</w:t>
          </w:r>
          <w:r w:rsidR="006B026D">
            <w:rPr>
              <w:rFonts w:eastAsia="Calibri"/>
              <w:sz w:val="22"/>
              <w:szCs w:val="22"/>
              <w:lang w:eastAsia="en-US"/>
            </w:rPr>
            <w:t>7</w:t>
          </w:r>
        </w:p>
      </w:tc>
      <w:tc>
        <w:tcPr>
          <w:tcW w:w="1697" w:type="dxa"/>
          <w:shd w:val="clear" w:color="auto" w:fill="auto"/>
        </w:tcPr>
        <w:p w14:paraId="5BB1CF2B" w14:textId="77777777" w:rsidR="00E33A93" w:rsidRPr="007C1C31" w:rsidRDefault="00E33A93" w:rsidP="00E33A93">
          <w:pPr>
            <w:rPr>
              <w:sz w:val="22"/>
              <w:szCs w:val="22"/>
            </w:rPr>
          </w:pPr>
          <w:r w:rsidRPr="007C1C31">
            <w:rPr>
              <w:sz w:val="22"/>
              <w:szCs w:val="22"/>
            </w:rPr>
            <w:t>Revizyon Tarihi</w:t>
          </w:r>
        </w:p>
      </w:tc>
      <w:tc>
        <w:tcPr>
          <w:tcW w:w="1169" w:type="dxa"/>
          <w:shd w:val="clear" w:color="auto" w:fill="auto"/>
        </w:tcPr>
        <w:p w14:paraId="4F65807C" w14:textId="77777777" w:rsidR="00E33A93" w:rsidRPr="007C1C31" w:rsidRDefault="00E33A93" w:rsidP="00E33A93">
          <w:pPr>
            <w:rPr>
              <w:sz w:val="22"/>
              <w:szCs w:val="22"/>
            </w:rPr>
          </w:pPr>
        </w:p>
      </w:tc>
    </w:tr>
    <w:tr w:rsidR="00E33A93" w:rsidRPr="007C1C31" w14:paraId="3AF13403" w14:textId="77777777" w:rsidTr="0049587A">
      <w:trPr>
        <w:trHeight w:hRule="exact" w:val="312"/>
      </w:trPr>
      <w:tc>
        <w:tcPr>
          <w:tcW w:w="1744" w:type="dxa"/>
          <w:vMerge/>
          <w:shd w:val="clear" w:color="auto" w:fill="auto"/>
        </w:tcPr>
        <w:p w14:paraId="64592091" w14:textId="77777777" w:rsidR="00E33A93" w:rsidRPr="007C1C31" w:rsidRDefault="00E33A93" w:rsidP="00E33A93">
          <w:pPr>
            <w:rPr>
              <w:sz w:val="22"/>
              <w:szCs w:val="22"/>
            </w:rPr>
          </w:pPr>
        </w:p>
      </w:tc>
      <w:tc>
        <w:tcPr>
          <w:tcW w:w="1762" w:type="dxa"/>
          <w:shd w:val="clear" w:color="auto" w:fill="auto"/>
        </w:tcPr>
        <w:p w14:paraId="4A435961" w14:textId="77777777" w:rsidR="00E33A93" w:rsidRPr="007C1C31" w:rsidRDefault="00E33A93" w:rsidP="00E33A93">
          <w:pPr>
            <w:rPr>
              <w:sz w:val="22"/>
              <w:szCs w:val="22"/>
            </w:rPr>
          </w:pPr>
          <w:r w:rsidRPr="007C1C31">
            <w:rPr>
              <w:sz w:val="22"/>
              <w:szCs w:val="22"/>
            </w:rPr>
            <w:t>İlk Yayın Tarihi</w:t>
          </w:r>
        </w:p>
      </w:tc>
      <w:tc>
        <w:tcPr>
          <w:tcW w:w="3438" w:type="dxa"/>
          <w:shd w:val="clear" w:color="auto" w:fill="auto"/>
        </w:tcPr>
        <w:p w14:paraId="14C8BE00" w14:textId="77777777" w:rsidR="00E33A93" w:rsidRPr="007C1C31" w:rsidRDefault="00E33A93" w:rsidP="00E33A93">
          <w:pPr>
            <w:spacing w:after="200" w:line="276" w:lineRule="auto"/>
            <w:rPr>
              <w:rFonts w:eastAsia="Calibri"/>
              <w:sz w:val="22"/>
              <w:szCs w:val="22"/>
              <w:lang w:eastAsia="en-US"/>
            </w:rPr>
          </w:pPr>
        </w:p>
      </w:tc>
      <w:tc>
        <w:tcPr>
          <w:tcW w:w="1697" w:type="dxa"/>
          <w:shd w:val="clear" w:color="auto" w:fill="auto"/>
        </w:tcPr>
        <w:p w14:paraId="742DBEB8" w14:textId="77777777" w:rsidR="00E33A93" w:rsidRPr="007C1C31" w:rsidRDefault="00E33A93" w:rsidP="00E33A93">
          <w:pPr>
            <w:rPr>
              <w:sz w:val="22"/>
              <w:szCs w:val="22"/>
            </w:rPr>
          </w:pPr>
          <w:r w:rsidRPr="007C1C31">
            <w:rPr>
              <w:sz w:val="22"/>
              <w:szCs w:val="22"/>
            </w:rPr>
            <w:t>Revizyon No</w:t>
          </w:r>
        </w:p>
      </w:tc>
      <w:tc>
        <w:tcPr>
          <w:tcW w:w="1169" w:type="dxa"/>
          <w:shd w:val="clear" w:color="auto" w:fill="auto"/>
        </w:tcPr>
        <w:p w14:paraId="19FA85F1" w14:textId="77777777" w:rsidR="00E33A93" w:rsidRPr="007C1C31" w:rsidRDefault="00E33A93" w:rsidP="00E33A93">
          <w:pPr>
            <w:rPr>
              <w:sz w:val="22"/>
              <w:szCs w:val="22"/>
            </w:rPr>
          </w:pPr>
        </w:p>
      </w:tc>
    </w:tr>
    <w:tr w:rsidR="00E33A93" w:rsidRPr="007C1C31" w14:paraId="7E1C2FFF" w14:textId="77777777" w:rsidTr="0049587A">
      <w:trPr>
        <w:trHeight w:hRule="exact" w:val="312"/>
      </w:trPr>
      <w:tc>
        <w:tcPr>
          <w:tcW w:w="1744" w:type="dxa"/>
          <w:vMerge/>
          <w:shd w:val="clear" w:color="auto" w:fill="auto"/>
        </w:tcPr>
        <w:p w14:paraId="5265192D" w14:textId="77777777" w:rsidR="00E33A93" w:rsidRPr="007C1C31" w:rsidRDefault="00E33A93" w:rsidP="00E33A93">
          <w:pPr>
            <w:rPr>
              <w:sz w:val="22"/>
              <w:szCs w:val="22"/>
            </w:rPr>
          </w:pPr>
        </w:p>
      </w:tc>
      <w:tc>
        <w:tcPr>
          <w:tcW w:w="5200" w:type="dxa"/>
          <w:gridSpan w:val="2"/>
          <w:shd w:val="clear" w:color="auto" w:fill="auto"/>
        </w:tcPr>
        <w:p w14:paraId="0B83B522" w14:textId="77777777" w:rsidR="00E33A93" w:rsidRPr="007C1C31" w:rsidRDefault="00E33A93" w:rsidP="00E33A93">
          <w:pPr>
            <w:pStyle w:val="Balk1"/>
            <w:ind w:left="-142" w:right="-219"/>
            <w:rPr>
              <w:i/>
              <w:iCs/>
              <w:color w:val="FF0000"/>
              <w:sz w:val="22"/>
              <w:szCs w:val="22"/>
              <w:u w:val="single"/>
            </w:rPr>
          </w:pPr>
        </w:p>
        <w:p w14:paraId="56C88E66" w14:textId="77777777" w:rsidR="00E33A93" w:rsidRPr="007C1C31" w:rsidRDefault="00E33A93" w:rsidP="00E33A93">
          <w:pPr>
            <w:rPr>
              <w:sz w:val="22"/>
              <w:szCs w:val="22"/>
            </w:rPr>
          </w:pPr>
        </w:p>
      </w:tc>
      <w:tc>
        <w:tcPr>
          <w:tcW w:w="1697" w:type="dxa"/>
          <w:shd w:val="clear" w:color="auto" w:fill="auto"/>
        </w:tcPr>
        <w:p w14:paraId="670BCFF8" w14:textId="77777777" w:rsidR="00E33A93" w:rsidRPr="007C1C31" w:rsidRDefault="00E33A93" w:rsidP="00E33A93">
          <w:pPr>
            <w:rPr>
              <w:sz w:val="22"/>
              <w:szCs w:val="22"/>
            </w:rPr>
          </w:pPr>
          <w:r w:rsidRPr="007C1C31">
            <w:rPr>
              <w:sz w:val="22"/>
              <w:szCs w:val="22"/>
            </w:rPr>
            <w:t xml:space="preserve">Sayfa </w:t>
          </w:r>
          <w:r>
            <w:rPr>
              <w:sz w:val="22"/>
              <w:szCs w:val="22"/>
            </w:rPr>
            <w:t>Adedi</w:t>
          </w:r>
        </w:p>
      </w:tc>
      <w:tc>
        <w:tcPr>
          <w:tcW w:w="1169" w:type="dxa"/>
          <w:shd w:val="clear" w:color="auto" w:fill="auto"/>
        </w:tcPr>
        <w:p w14:paraId="4B365308" w14:textId="77777777" w:rsidR="00E33A93" w:rsidRPr="007C1C31" w:rsidRDefault="00E33A93" w:rsidP="00E33A93">
          <w:pPr>
            <w:rPr>
              <w:sz w:val="22"/>
              <w:szCs w:val="22"/>
            </w:rPr>
          </w:pPr>
          <w:r>
            <w:rPr>
              <w:sz w:val="22"/>
              <w:szCs w:val="22"/>
            </w:rPr>
            <w:t>2</w:t>
          </w:r>
        </w:p>
      </w:tc>
    </w:tr>
  </w:tbl>
  <w:p w14:paraId="35736619" w14:textId="3F64D1DF" w:rsidR="00E33A93" w:rsidRDefault="00E33A93">
    <w:pPr>
      <w:pStyle w:val="stBilgi"/>
    </w:pPr>
  </w:p>
  <w:p w14:paraId="19A1A3C9" w14:textId="77777777" w:rsidR="003F0071" w:rsidRDefault="003F007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63A5" w14:textId="77777777" w:rsidR="006B026D" w:rsidRDefault="006B026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0678"/>
    <w:multiLevelType w:val="hybridMultilevel"/>
    <w:tmpl w:val="7000169A"/>
    <w:lvl w:ilvl="0" w:tplc="980A52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CD4589"/>
    <w:multiLevelType w:val="hybridMultilevel"/>
    <w:tmpl w:val="98EADE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95A18DF"/>
    <w:multiLevelType w:val="hybridMultilevel"/>
    <w:tmpl w:val="1D0815FC"/>
    <w:lvl w:ilvl="0" w:tplc="6D7C958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BA"/>
    <w:rsid w:val="00004061"/>
    <w:rsid w:val="00017E0E"/>
    <w:rsid w:val="00064989"/>
    <w:rsid w:val="000676ED"/>
    <w:rsid w:val="00185249"/>
    <w:rsid w:val="00251A25"/>
    <w:rsid w:val="002D6C1B"/>
    <w:rsid w:val="0033262E"/>
    <w:rsid w:val="003658B6"/>
    <w:rsid w:val="003F0071"/>
    <w:rsid w:val="00452D01"/>
    <w:rsid w:val="004549DF"/>
    <w:rsid w:val="004B46BC"/>
    <w:rsid w:val="004D2120"/>
    <w:rsid w:val="005173F9"/>
    <w:rsid w:val="005612C6"/>
    <w:rsid w:val="00571815"/>
    <w:rsid w:val="00575112"/>
    <w:rsid w:val="00677503"/>
    <w:rsid w:val="006805DB"/>
    <w:rsid w:val="006A35F9"/>
    <w:rsid w:val="006B026D"/>
    <w:rsid w:val="006B56E0"/>
    <w:rsid w:val="006C3D48"/>
    <w:rsid w:val="007417BA"/>
    <w:rsid w:val="007A2BAC"/>
    <w:rsid w:val="008A7387"/>
    <w:rsid w:val="009351F8"/>
    <w:rsid w:val="009A631E"/>
    <w:rsid w:val="009B3098"/>
    <w:rsid w:val="00A22975"/>
    <w:rsid w:val="00CC4354"/>
    <w:rsid w:val="00CC528B"/>
    <w:rsid w:val="00CD6746"/>
    <w:rsid w:val="00DE7D8F"/>
    <w:rsid w:val="00E33A93"/>
    <w:rsid w:val="00E4387D"/>
    <w:rsid w:val="00E66B49"/>
    <w:rsid w:val="00EF159D"/>
    <w:rsid w:val="00EF76A5"/>
    <w:rsid w:val="00F37FD6"/>
    <w:rsid w:val="00F445E1"/>
    <w:rsid w:val="00F5396F"/>
    <w:rsid w:val="00F86120"/>
    <w:rsid w:val="00FA3E45"/>
    <w:rsid w:val="00FC5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DB7F2"/>
  <w15:chartTrackingRefBased/>
  <w15:docId w15:val="{E93467AB-935B-4CA4-90C6-44C6901E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2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9"/>
    <w:qFormat/>
    <w:rsid w:val="004D2120"/>
    <w:pPr>
      <w:keepNext/>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4D2120"/>
    <w:rPr>
      <w:rFonts w:ascii="Times New Roman" w:eastAsia="Times New Roman" w:hAnsi="Times New Roman" w:cs="Times New Roman"/>
      <w:b/>
      <w:sz w:val="20"/>
      <w:szCs w:val="20"/>
      <w:lang w:eastAsia="tr-TR"/>
    </w:rPr>
  </w:style>
  <w:style w:type="paragraph" w:customStyle="1" w:styleId="TableParagraph">
    <w:name w:val="Table Paragraph"/>
    <w:basedOn w:val="Normal"/>
    <w:uiPriority w:val="1"/>
    <w:qFormat/>
    <w:rsid w:val="004D2120"/>
    <w:pPr>
      <w:widowControl w:val="0"/>
      <w:autoSpaceDE w:val="0"/>
      <w:autoSpaceDN w:val="0"/>
      <w:ind w:left="107"/>
    </w:pPr>
    <w:rPr>
      <w:sz w:val="22"/>
      <w:szCs w:val="22"/>
      <w:lang w:eastAsia="en-US"/>
    </w:rPr>
  </w:style>
  <w:style w:type="paragraph" w:styleId="stBilgi">
    <w:name w:val="header"/>
    <w:basedOn w:val="Normal"/>
    <w:link w:val="stBilgiChar"/>
    <w:uiPriority w:val="99"/>
    <w:unhideWhenUsed/>
    <w:rsid w:val="009B3098"/>
    <w:pPr>
      <w:tabs>
        <w:tab w:val="center" w:pos="4536"/>
        <w:tab w:val="right" w:pos="9072"/>
      </w:tabs>
    </w:pPr>
  </w:style>
  <w:style w:type="character" w:customStyle="1" w:styleId="stBilgiChar">
    <w:name w:val="Üst Bilgi Char"/>
    <w:basedOn w:val="VarsaylanParagrafYazTipi"/>
    <w:link w:val="stBilgi"/>
    <w:uiPriority w:val="99"/>
    <w:rsid w:val="009B3098"/>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B3098"/>
    <w:pPr>
      <w:tabs>
        <w:tab w:val="center" w:pos="4536"/>
        <w:tab w:val="right" w:pos="9072"/>
      </w:tabs>
    </w:pPr>
  </w:style>
  <w:style w:type="character" w:customStyle="1" w:styleId="AltBilgiChar">
    <w:name w:val="Alt Bilgi Char"/>
    <w:basedOn w:val="VarsaylanParagrafYazTipi"/>
    <w:link w:val="AltBilgi"/>
    <w:uiPriority w:val="99"/>
    <w:rsid w:val="009B3098"/>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332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Duman</dc:creator>
  <cp:keywords/>
  <dc:description/>
  <cp:lastModifiedBy>E.Karacan</cp:lastModifiedBy>
  <cp:revision>2</cp:revision>
  <cp:lastPrinted>2024-01-18T12:36:00Z</cp:lastPrinted>
  <dcterms:created xsi:type="dcterms:W3CDTF">2024-12-10T10:00:00Z</dcterms:created>
  <dcterms:modified xsi:type="dcterms:W3CDTF">2024-12-10T10:00:00Z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d7302387e0c29acdb6511644bac09ae61a38b38bdeb81e99b0847bcdd0580317</vt:lpwstr>
  </property>
</Properties>
</file>