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427ED" w14:textId="77777777" w:rsidR="004D2120" w:rsidRPr="007C1C31" w:rsidRDefault="004D2120" w:rsidP="004D2120">
      <w:pPr>
        <w:tabs>
          <w:tab w:val="left" w:pos="900"/>
        </w:tabs>
        <w:spacing w:before="60" w:after="60" w:line="276" w:lineRule="auto"/>
        <w:ind w:right="113"/>
        <w:jc w:val="both"/>
        <w:rPr>
          <w:sz w:val="22"/>
          <w:szCs w:val="22"/>
        </w:rPr>
      </w:pPr>
      <w:bookmarkStart w:id="0" w:name="_GoBack"/>
      <w:bookmarkEnd w:id="0"/>
    </w:p>
    <w:tbl>
      <w:tblPr>
        <w:tblW w:w="9810"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123"/>
        <w:gridCol w:w="6687"/>
      </w:tblGrid>
      <w:tr w:rsidR="004D2120" w:rsidRPr="007C1C31" w14:paraId="4B081E5A" w14:textId="77777777" w:rsidTr="003D3782">
        <w:tc>
          <w:tcPr>
            <w:tcW w:w="3123" w:type="dxa"/>
            <w:shd w:val="clear" w:color="auto" w:fill="auto"/>
          </w:tcPr>
          <w:p w14:paraId="05FC98AD" w14:textId="77777777" w:rsidR="004D2120" w:rsidRPr="007C1C31" w:rsidRDefault="004D2120" w:rsidP="003D3782">
            <w:pPr>
              <w:rPr>
                <w:b/>
                <w:iCs/>
                <w:color w:val="000000"/>
                <w:sz w:val="22"/>
                <w:szCs w:val="22"/>
              </w:rPr>
            </w:pPr>
            <w:r w:rsidRPr="007C1C31">
              <w:rPr>
                <w:b/>
                <w:iCs/>
                <w:color w:val="000000"/>
                <w:sz w:val="22"/>
                <w:szCs w:val="22"/>
              </w:rPr>
              <w:t>Birim</w:t>
            </w:r>
            <w:r>
              <w:rPr>
                <w:b/>
                <w:iCs/>
                <w:color w:val="000000"/>
                <w:sz w:val="22"/>
                <w:szCs w:val="22"/>
              </w:rPr>
              <w:t>i</w:t>
            </w:r>
          </w:p>
        </w:tc>
        <w:tc>
          <w:tcPr>
            <w:tcW w:w="6687" w:type="dxa"/>
            <w:shd w:val="clear" w:color="auto" w:fill="auto"/>
          </w:tcPr>
          <w:p w14:paraId="4679D5B3" w14:textId="6850E2B1" w:rsidR="004D2120" w:rsidRPr="007C1C31" w:rsidRDefault="004D2120" w:rsidP="003D3782">
            <w:pPr>
              <w:rPr>
                <w:sz w:val="22"/>
                <w:szCs w:val="22"/>
              </w:rPr>
            </w:pPr>
          </w:p>
        </w:tc>
      </w:tr>
      <w:tr w:rsidR="004D2120" w:rsidRPr="007C1C31" w14:paraId="43B9DD8B" w14:textId="77777777" w:rsidTr="003D3782">
        <w:tc>
          <w:tcPr>
            <w:tcW w:w="3123" w:type="dxa"/>
            <w:shd w:val="clear" w:color="auto" w:fill="auto"/>
          </w:tcPr>
          <w:p w14:paraId="118132DF" w14:textId="77777777" w:rsidR="004D2120" w:rsidRPr="007C1C31" w:rsidRDefault="004D2120" w:rsidP="003D3782">
            <w:pPr>
              <w:rPr>
                <w:b/>
                <w:iCs/>
                <w:color w:val="000000"/>
                <w:sz w:val="22"/>
                <w:szCs w:val="22"/>
              </w:rPr>
            </w:pPr>
            <w:r w:rsidRPr="007C1C31">
              <w:rPr>
                <w:b/>
                <w:iCs/>
                <w:color w:val="000000"/>
                <w:sz w:val="22"/>
                <w:szCs w:val="22"/>
              </w:rPr>
              <w:t xml:space="preserve">Alt Birim </w:t>
            </w:r>
          </w:p>
        </w:tc>
        <w:tc>
          <w:tcPr>
            <w:tcW w:w="6687" w:type="dxa"/>
            <w:shd w:val="clear" w:color="auto" w:fill="auto"/>
          </w:tcPr>
          <w:p w14:paraId="24895620" w14:textId="02159B0A" w:rsidR="004D2120" w:rsidRPr="007C1C31" w:rsidRDefault="004D2120" w:rsidP="003D3782">
            <w:pPr>
              <w:rPr>
                <w:sz w:val="22"/>
                <w:szCs w:val="22"/>
              </w:rPr>
            </w:pPr>
          </w:p>
        </w:tc>
      </w:tr>
      <w:tr w:rsidR="008A7387" w:rsidRPr="007C1C31" w14:paraId="6D0BE4E7" w14:textId="77777777" w:rsidTr="003D3782">
        <w:tc>
          <w:tcPr>
            <w:tcW w:w="3123" w:type="dxa"/>
            <w:shd w:val="clear" w:color="auto" w:fill="auto"/>
          </w:tcPr>
          <w:p w14:paraId="4C75081E" w14:textId="77777777" w:rsidR="008A7387" w:rsidRPr="007C1C31" w:rsidRDefault="008A7387" w:rsidP="008A7387">
            <w:pPr>
              <w:rPr>
                <w:b/>
                <w:iCs/>
                <w:color w:val="000000"/>
                <w:sz w:val="22"/>
                <w:szCs w:val="22"/>
              </w:rPr>
            </w:pPr>
            <w:r>
              <w:rPr>
                <w:b/>
                <w:sz w:val="22"/>
                <w:szCs w:val="22"/>
              </w:rPr>
              <w:t>İlk Amiri</w:t>
            </w:r>
          </w:p>
        </w:tc>
        <w:tc>
          <w:tcPr>
            <w:tcW w:w="6687" w:type="dxa"/>
            <w:shd w:val="clear" w:color="auto" w:fill="auto"/>
          </w:tcPr>
          <w:p w14:paraId="40C552F2" w14:textId="11E96FFB" w:rsidR="008A7387" w:rsidRPr="007C1C31" w:rsidRDefault="008A7387" w:rsidP="008A7387">
            <w:pPr>
              <w:rPr>
                <w:sz w:val="22"/>
                <w:szCs w:val="22"/>
              </w:rPr>
            </w:pPr>
          </w:p>
        </w:tc>
      </w:tr>
      <w:tr w:rsidR="008A7387" w:rsidRPr="007C1C31" w14:paraId="5736A2BD" w14:textId="77777777" w:rsidTr="003D3782">
        <w:tc>
          <w:tcPr>
            <w:tcW w:w="3123" w:type="dxa"/>
            <w:shd w:val="clear" w:color="auto" w:fill="auto"/>
          </w:tcPr>
          <w:p w14:paraId="7C596DB2" w14:textId="77777777" w:rsidR="008A7387" w:rsidRPr="007C1C31" w:rsidRDefault="008A7387" w:rsidP="008A7387">
            <w:pPr>
              <w:rPr>
                <w:b/>
                <w:sz w:val="22"/>
                <w:szCs w:val="22"/>
              </w:rPr>
            </w:pPr>
            <w:r>
              <w:rPr>
                <w:b/>
                <w:sz w:val="22"/>
                <w:szCs w:val="22"/>
              </w:rPr>
              <w:t>Sınıf</w:t>
            </w:r>
          </w:p>
        </w:tc>
        <w:tc>
          <w:tcPr>
            <w:tcW w:w="6687" w:type="dxa"/>
            <w:shd w:val="clear" w:color="auto" w:fill="auto"/>
          </w:tcPr>
          <w:p w14:paraId="0DD24891" w14:textId="0DAE839C" w:rsidR="008A7387" w:rsidRPr="007C1C31" w:rsidRDefault="0033262E" w:rsidP="008A7387">
            <w:pPr>
              <w:rPr>
                <w:sz w:val="22"/>
                <w:szCs w:val="22"/>
              </w:rPr>
            </w:pPr>
            <w:r>
              <w:rPr>
                <w:sz w:val="22"/>
                <w:szCs w:val="22"/>
              </w:rPr>
              <w:t>Öğretim Elemanı</w:t>
            </w:r>
          </w:p>
        </w:tc>
      </w:tr>
      <w:tr w:rsidR="008A7387" w:rsidRPr="007C1C31" w14:paraId="6FC6446D" w14:textId="77777777" w:rsidTr="003D3782">
        <w:tc>
          <w:tcPr>
            <w:tcW w:w="3123" w:type="dxa"/>
            <w:shd w:val="clear" w:color="auto" w:fill="auto"/>
          </w:tcPr>
          <w:p w14:paraId="660E121C" w14:textId="77777777" w:rsidR="008A7387" w:rsidRPr="007C1C31" w:rsidRDefault="008A7387" w:rsidP="008A7387">
            <w:pPr>
              <w:rPr>
                <w:b/>
                <w:sz w:val="22"/>
                <w:szCs w:val="22"/>
              </w:rPr>
            </w:pPr>
            <w:r w:rsidRPr="007C1C31">
              <w:rPr>
                <w:b/>
                <w:sz w:val="22"/>
                <w:szCs w:val="22"/>
              </w:rPr>
              <w:t>Kadrosu</w:t>
            </w:r>
          </w:p>
        </w:tc>
        <w:tc>
          <w:tcPr>
            <w:tcW w:w="6687" w:type="dxa"/>
            <w:shd w:val="clear" w:color="auto" w:fill="auto"/>
          </w:tcPr>
          <w:p w14:paraId="44D9BA20" w14:textId="67F2F9A2" w:rsidR="008A7387" w:rsidRPr="007C1C31" w:rsidRDefault="0033262E" w:rsidP="008A7387">
            <w:pPr>
              <w:rPr>
                <w:sz w:val="22"/>
                <w:szCs w:val="22"/>
              </w:rPr>
            </w:pPr>
            <w:r>
              <w:rPr>
                <w:sz w:val="22"/>
                <w:szCs w:val="22"/>
              </w:rPr>
              <w:t>Öğretim Görevlisi</w:t>
            </w:r>
          </w:p>
        </w:tc>
      </w:tr>
      <w:tr w:rsidR="008A7387" w:rsidRPr="007C1C31" w14:paraId="7BB8D4F4" w14:textId="77777777" w:rsidTr="003D3782">
        <w:tc>
          <w:tcPr>
            <w:tcW w:w="3123" w:type="dxa"/>
            <w:shd w:val="clear" w:color="auto" w:fill="auto"/>
          </w:tcPr>
          <w:p w14:paraId="5CD06C93" w14:textId="36DCA8D8" w:rsidR="008A7387" w:rsidRPr="007C1C31" w:rsidRDefault="001F0AD5" w:rsidP="008A7387">
            <w:pPr>
              <w:rPr>
                <w:b/>
                <w:sz w:val="22"/>
                <w:szCs w:val="22"/>
              </w:rPr>
            </w:pPr>
            <w:r>
              <w:rPr>
                <w:b/>
                <w:sz w:val="22"/>
                <w:szCs w:val="22"/>
              </w:rPr>
              <w:t>Vekalet/</w:t>
            </w:r>
            <w:r w:rsidR="008A7387" w:rsidRPr="007C1C31">
              <w:rPr>
                <w:b/>
                <w:sz w:val="22"/>
                <w:szCs w:val="22"/>
              </w:rPr>
              <w:t>Görev Devri</w:t>
            </w:r>
          </w:p>
        </w:tc>
        <w:tc>
          <w:tcPr>
            <w:tcW w:w="6687" w:type="dxa"/>
            <w:shd w:val="clear" w:color="auto" w:fill="auto"/>
          </w:tcPr>
          <w:p w14:paraId="42E23931" w14:textId="0FC54D61" w:rsidR="008A7387" w:rsidRPr="007C1C31" w:rsidRDefault="008A7387" w:rsidP="008A7387">
            <w:pPr>
              <w:rPr>
                <w:sz w:val="22"/>
                <w:szCs w:val="22"/>
              </w:rPr>
            </w:pPr>
          </w:p>
        </w:tc>
      </w:tr>
    </w:tbl>
    <w:p w14:paraId="7CCE91C4" w14:textId="77777777" w:rsidR="004D2120" w:rsidRPr="007C1C31" w:rsidRDefault="004D2120" w:rsidP="004D2120">
      <w:pPr>
        <w:rPr>
          <w:sz w:val="22"/>
          <w:szCs w:val="22"/>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2"/>
        <w:gridCol w:w="6798"/>
      </w:tblGrid>
      <w:tr w:rsidR="0033262E" w:rsidRPr="007C1C31" w14:paraId="4DDDBF28" w14:textId="77777777" w:rsidTr="0033262E">
        <w:tc>
          <w:tcPr>
            <w:tcW w:w="3012" w:type="dxa"/>
            <w:shd w:val="clear" w:color="auto" w:fill="auto"/>
          </w:tcPr>
          <w:p w14:paraId="1BBB1998" w14:textId="77777777" w:rsidR="0033262E" w:rsidRPr="007C1C31" w:rsidRDefault="0033262E" w:rsidP="0033262E">
            <w:pPr>
              <w:keepNext/>
              <w:spacing w:before="60" w:after="60"/>
              <w:jc w:val="both"/>
              <w:outlineLvl w:val="1"/>
              <w:rPr>
                <w:b/>
                <w:bCs/>
                <w:iCs/>
                <w:color w:val="000000"/>
                <w:sz w:val="22"/>
                <w:szCs w:val="22"/>
              </w:rPr>
            </w:pPr>
            <w:r w:rsidRPr="007C1C31">
              <w:rPr>
                <w:b/>
                <w:bCs/>
                <w:iCs/>
                <w:color w:val="000000"/>
                <w:sz w:val="22"/>
                <w:szCs w:val="22"/>
              </w:rPr>
              <w:t>Görevin Kısa Tanımı</w:t>
            </w:r>
          </w:p>
        </w:tc>
        <w:tc>
          <w:tcPr>
            <w:tcW w:w="6798" w:type="dxa"/>
          </w:tcPr>
          <w:p w14:paraId="2F6E909B" w14:textId="2A8354D4" w:rsidR="0033262E" w:rsidRPr="00ED5516" w:rsidRDefault="0033262E" w:rsidP="0033262E">
            <w:pPr>
              <w:jc w:val="both"/>
              <w:rPr>
                <w:iCs/>
                <w:color w:val="000000"/>
                <w:sz w:val="22"/>
                <w:szCs w:val="22"/>
              </w:rPr>
            </w:pPr>
            <w:r w:rsidRPr="007C1C31">
              <w:rPr>
                <w:sz w:val="22"/>
                <w:szCs w:val="22"/>
              </w:rPr>
              <w:t>İskenderun Teknik Üniversitesi üst yönetimi tarafından belirlenen amaç ve ilkelere uygun olarak; Fakülte ve bölümün vizyonu, misyonu doğrultusunda eğitim ve öğretimi gerçekleştirmek için gerekli tüm faaliyetlerin yürütülmesi amacıyla çalışmalar yapmak. Ders vermekle ve uygulama yaptırmakla yükümlü öğretim elemanlarıdır. Üniversitelerde ve bağlı birimlerinde, ilgili kanun uyarınca atanmış öğretim üyesi bulunmayan dersler veya herhangi bir dersin özel bilgi ve uzmanlık isteyen eğitim-öğretim ve uygulamaları için, kendi uzmanlık alanlarındaki çalışma ve eserleriyle tanınmış kişiler, süreli veya ders saati ücreti ile görevlendirilebilirler.</w:t>
            </w:r>
          </w:p>
        </w:tc>
      </w:tr>
    </w:tbl>
    <w:p w14:paraId="4EFB475C" w14:textId="77777777" w:rsidR="004D2120" w:rsidRPr="007C1C31" w:rsidRDefault="004D2120" w:rsidP="004D2120">
      <w:pPr>
        <w:spacing w:before="100" w:after="100"/>
        <w:jc w:val="both"/>
        <w:rPr>
          <w:b/>
          <w:bCs/>
          <w:sz w:val="22"/>
          <w:szCs w:val="22"/>
        </w:rPr>
      </w:pPr>
      <w:r w:rsidRPr="007C1C31">
        <w:rPr>
          <w:b/>
          <w:sz w:val="22"/>
          <w:szCs w:val="22"/>
        </w:rPr>
        <w:t xml:space="preserve">GÖREV, YETKİ VE SORUMLULUKLARI: </w:t>
      </w:r>
    </w:p>
    <w:tbl>
      <w:tblPr>
        <w:tblW w:w="9848"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1E0" w:firstRow="1" w:lastRow="1" w:firstColumn="1" w:lastColumn="1" w:noHBand="0" w:noVBand="0"/>
      </w:tblPr>
      <w:tblGrid>
        <w:gridCol w:w="9848"/>
      </w:tblGrid>
      <w:tr w:rsidR="004D2120" w:rsidRPr="007C1C31" w14:paraId="38BB8220" w14:textId="77777777" w:rsidTr="0033262E">
        <w:trPr>
          <w:trHeight w:val="1124"/>
        </w:trPr>
        <w:tc>
          <w:tcPr>
            <w:tcW w:w="9848" w:type="dxa"/>
          </w:tcPr>
          <w:p w14:paraId="37BA2A59" w14:textId="77777777" w:rsidR="0033262E" w:rsidRDefault="0033262E" w:rsidP="0033262E">
            <w:pPr>
              <w:numPr>
                <w:ilvl w:val="0"/>
                <w:numId w:val="2"/>
              </w:numPr>
              <w:tabs>
                <w:tab w:val="left" w:pos="567"/>
                <w:tab w:val="left" w:pos="709"/>
              </w:tabs>
              <w:jc w:val="both"/>
              <w:rPr>
                <w:bCs/>
                <w:sz w:val="22"/>
                <w:szCs w:val="22"/>
              </w:rPr>
            </w:pPr>
            <w:r>
              <w:rPr>
                <w:bCs/>
                <w:sz w:val="22"/>
                <w:szCs w:val="22"/>
              </w:rPr>
              <w:t>K</w:t>
            </w:r>
            <w:r w:rsidRPr="006E2332">
              <w:rPr>
                <w:bCs/>
                <w:sz w:val="22"/>
                <w:szCs w:val="22"/>
              </w:rPr>
              <w:t>anun, yönetmelik ve yönergelerde belirtilen görevleri yapmak,</w:t>
            </w:r>
          </w:p>
          <w:p w14:paraId="093B62A9" w14:textId="77777777" w:rsidR="0033262E" w:rsidRDefault="0033262E" w:rsidP="0033262E">
            <w:pPr>
              <w:numPr>
                <w:ilvl w:val="0"/>
                <w:numId w:val="2"/>
              </w:numPr>
              <w:tabs>
                <w:tab w:val="left" w:pos="567"/>
                <w:tab w:val="left" w:pos="709"/>
              </w:tabs>
              <w:jc w:val="both"/>
              <w:rPr>
                <w:color w:val="000000"/>
                <w:sz w:val="22"/>
                <w:szCs w:val="22"/>
                <w:lang w:eastAsia="en-US"/>
              </w:rPr>
            </w:pPr>
            <w:r w:rsidRPr="006E2332">
              <w:rPr>
                <w:bCs/>
                <w:sz w:val="22"/>
                <w:szCs w:val="22"/>
              </w:rPr>
              <w:t>Akademik bilgi seviyesi ile entelektüel donanımını geliştirme; ders dışı üniversite etkinlikleri düzenleme ve düzenlenen faaliyetlere katkı sağlama; sosyal sorumluluk projeleri yapma ve öğrencilerine yararlı olma çabası içinde olmak,</w:t>
            </w:r>
          </w:p>
          <w:p w14:paraId="78D80101" w14:textId="77777777" w:rsidR="0033262E" w:rsidRDefault="0033262E" w:rsidP="0033262E">
            <w:pPr>
              <w:numPr>
                <w:ilvl w:val="0"/>
                <w:numId w:val="2"/>
              </w:numPr>
              <w:tabs>
                <w:tab w:val="left" w:pos="567"/>
                <w:tab w:val="left" w:pos="709"/>
              </w:tabs>
              <w:jc w:val="both"/>
              <w:rPr>
                <w:color w:val="000000"/>
                <w:sz w:val="22"/>
                <w:szCs w:val="22"/>
                <w:lang w:eastAsia="en-US"/>
              </w:rPr>
            </w:pPr>
            <w:r w:rsidRPr="0076031A">
              <w:rPr>
                <w:color w:val="000000"/>
                <w:sz w:val="22"/>
                <w:szCs w:val="22"/>
                <w:lang w:eastAsia="en-US"/>
              </w:rPr>
              <w:t>Görevlendirilmiş olduğu derslerle ilgili dönem başlarında ders planını hazırlamak ve entegre sistemlere (Öğrenci İşleri Bilgi Sistemi, BOLOGNA, vb. gibi) kaydetmek,</w:t>
            </w:r>
          </w:p>
          <w:p w14:paraId="3C5FFB5B" w14:textId="77777777" w:rsidR="0033262E" w:rsidRDefault="0033262E" w:rsidP="0033262E">
            <w:pPr>
              <w:numPr>
                <w:ilvl w:val="0"/>
                <w:numId w:val="2"/>
              </w:numPr>
              <w:tabs>
                <w:tab w:val="left" w:pos="567"/>
                <w:tab w:val="left" w:pos="709"/>
              </w:tabs>
              <w:jc w:val="both"/>
              <w:rPr>
                <w:color w:val="000000"/>
                <w:sz w:val="22"/>
                <w:szCs w:val="22"/>
                <w:lang w:eastAsia="en-US"/>
              </w:rPr>
            </w:pPr>
            <w:r w:rsidRPr="0076031A">
              <w:rPr>
                <w:color w:val="000000"/>
                <w:sz w:val="22"/>
                <w:szCs w:val="22"/>
                <w:lang w:eastAsia="en-US"/>
              </w:rPr>
              <w:t>Öğrenci danışmanlık hizmetlerine katılmak, öğrencilerin bölüm ve çevreye uyum sağlamalarına yardımcı olmak, Danışmanlık ve derslerini Yükseköğretim mevzuatına uygun şekilde yerine getirmek,</w:t>
            </w:r>
          </w:p>
          <w:p w14:paraId="390E727D" w14:textId="77777777" w:rsidR="0033262E" w:rsidRPr="0076031A" w:rsidRDefault="0033262E" w:rsidP="0033262E">
            <w:pPr>
              <w:numPr>
                <w:ilvl w:val="0"/>
                <w:numId w:val="2"/>
              </w:numPr>
              <w:tabs>
                <w:tab w:val="left" w:pos="567"/>
                <w:tab w:val="left" w:pos="709"/>
              </w:tabs>
              <w:jc w:val="both"/>
              <w:rPr>
                <w:color w:val="000000"/>
                <w:sz w:val="22"/>
                <w:szCs w:val="22"/>
                <w:lang w:eastAsia="en-US"/>
              </w:rPr>
            </w:pPr>
            <w:r w:rsidRPr="0076031A">
              <w:rPr>
                <w:color w:val="000000"/>
                <w:sz w:val="22"/>
                <w:szCs w:val="22"/>
                <w:lang w:eastAsia="en-US"/>
              </w:rPr>
              <w:t>Mevcut potansiyelinin tümünü kullanarak Fakülte ve bulunduğu bölümün amaç ve hedeflerine ulaşmaya çalışmak,</w:t>
            </w:r>
          </w:p>
          <w:p w14:paraId="0667AC28" w14:textId="77777777" w:rsidR="0033262E" w:rsidRPr="0076031A" w:rsidRDefault="0033262E" w:rsidP="0033262E">
            <w:pPr>
              <w:numPr>
                <w:ilvl w:val="0"/>
                <w:numId w:val="2"/>
              </w:numPr>
              <w:tabs>
                <w:tab w:val="left" w:pos="567"/>
                <w:tab w:val="left" w:pos="709"/>
              </w:tabs>
              <w:jc w:val="both"/>
              <w:rPr>
                <w:color w:val="000000"/>
                <w:sz w:val="22"/>
                <w:szCs w:val="22"/>
                <w:lang w:eastAsia="en-US"/>
              </w:rPr>
            </w:pPr>
            <w:r w:rsidRPr="0076031A">
              <w:rPr>
                <w:color w:val="000000"/>
                <w:sz w:val="22"/>
                <w:szCs w:val="22"/>
                <w:lang w:eastAsia="en-US"/>
              </w:rPr>
              <w:t>Sorumlu olduğu derslerin eksiksiz yürütülmesini sağlamak, sınavların programdaki tarih ve saatlerine uygun şekilde yapılmasını sağlamak,</w:t>
            </w:r>
          </w:p>
          <w:p w14:paraId="4CD42724" w14:textId="52C8C933" w:rsidR="0033262E" w:rsidRDefault="0033262E" w:rsidP="0033262E">
            <w:pPr>
              <w:numPr>
                <w:ilvl w:val="0"/>
                <w:numId w:val="2"/>
              </w:numPr>
              <w:tabs>
                <w:tab w:val="left" w:pos="217"/>
                <w:tab w:val="left" w:pos="501"/>
              </w:tabs>
              <w:jc w:val="both"/>
              <w:rPr>
                <w:color w:val="000000"/>
                <w:sz w:val="22"/>
                <w:szCs w:val="22"/>
                <w:lang w:eastAsia="en-US"/>
              </w:rPr>
            </w:pPr>
            <w:r>
              <w:rPr>
                <w:color w:val="000000"/>
                <w:sz w:val="22"/>
                <w:szCs w:val="22"/>
                <w:lang w:eastAsia="en-US"/>
              </w:rPr>
              <w:t xml:space="preserve">   </w:t>
            </w:r>
            <w:r w:rsidRPr="007C1C31">
              <w:rPr>
                <w:color w:val="000000"/>
                <w:sz w:val="22"/>
                <w:szCs w:val="22"/>
                <w:lang w:eastAsia="en-US"/>
              </w:rPr>
              <w:t>Sınav gözetmenliği konularında öğretim elemanlarına yardımcı olmak,</w:t>
            </w:r>
          </w:p>
          <w:p w14:paraId="2E430AB8" w14:textId="254F31EF" w:rsidR="0033262E" w:rsidRPr="0033262E" w:rsidRDefault="0033262E" w:rsidP="0033262E">
            <w:pPr>
              <w:numPr>
                <w:ilvl w:val="0"/>
                <w:numId w:val="2"/>
              </w:numPr>
              <w:tabs>
                <w:tab w:val="left" w:pos="217"/>
                <w:tab w:val="left" w:pos="501"/>
              </w:tabs>
              <w:jc w:val="both"/>
              <w:rPr>
                <w:color w:val="000000"/>
                <w:sz w:val="22"/>
                <w:szCs w:val="22"/>
                <w:lang w:eastAsia="en-US"/>
              </w:rPr>
            </w:pPr>
            <w:r>
              <w:rPr>
                <w:color w:val="000000"/>
                <w:sz w:val="22"/>
                <w:szCs w:val="22"/>
                <w:lang w:eastAsia="en-US"/>
              </w:rPr>
              <w:t xml:space="preserve">   </w:t>
            </w:r>
            <w:r>
              <w:rPr>
                <w:bCs/>
                <w:sz w:val="22"/>
                <w:szCs w:val="22"/>
              </w:rPr>
              <w:t xml:space="preserve">Sorumlu olduğu dersler ve akademik faaliyetler ile ilgili Bölüm Başkanlığı ve </w:t>
            </w:r>
            <w:r w:rsidR="00DD2B37">
              <w:rPr>
                <w:bCs/>
                <w:sz w:val="22"/>
                <w:szCs w:val="22"/>
              </w:rPr>
              <w:t>birim yönetiminin</w:t>
            </w:r>
            <w:r>
              <w:rPr>
                <w:bCs/>
                <w:sz w:val="22"/>
                <w:szCs w:val="22"/>
              </w:rPr>
              <w:t xml:space="preserve"> </w:t>
            </w:r>
            <w:r w:rsidRPr="007C1C31">
              <w:rPr>
                <w:bCs/>
                <w:sz w:val="22"/>
                <w:szCs w:val="22"/>
              </w:rPr>
              <w:t>talep ettiği bilgileri ve dokümanları vermek</w:t>
            </w:r>
            <w:r>
              <w:rPr>
                <w:bCs/>
                <w:sz w:val="22"/>
                <w:szCs w:val="22"/>
              </w:rPr>
              <w:t>,</w:t>
            </w:r>
          </w:p>
          <w:p w14:paraId="4BB0C0FF" w14:textId="4873EC3A" w:rsidR="0033262E" w:rsidRPr="0033262E" w:rsidRDefault="0033262E" w:rsidP="0033262E">
            <w:pPr>
              <w:pStyle w:val="ListeParagraf"/>
              <w:numPr>
                <w:ilvl w:val="0"/>
                <w:numId w:val="2"/>
              </w:numPr>
              <w:rPr>
                <w:bCs/>
                <w:sz w:val="22"/>
                <w:szCs w:val="22"/>
              </w:rPr>
            </w:pPr>
            <w:r w:rsidRPr="0033262E">
              <w:rPr>
                <w:bCs/>
                <w:sz w:val="22"/>
                <w:szCs w:val="22"/>
              </w:rPr>
              <w:t>Derslere ait yoklama çizelgesini, sınav evraklarını (Soru kâğıtları, cevap kâğıtları, puanlanmış cevap anahtarı, imzalı sınav sonuç raporu, sınav yoklama tutanağı) saklamak veya bölüm arşivine iletmek,</w:t>
            </w:r>
          </w:p>
          <w:p w14:paraId="45A1B49B" w14:textId="77777777" w:rsidR="0033262E" w:rsidRPr="007C1C31" w:rsidRDefault="0033262E" w:rsidP="0033262E">
            <w:pPr>
              <w:numPr>
                <w:ilvl w:val="0"/>
                <w:numId w:val="2"/>
              </w:numPr>
              <w:tabs>
                <w:tab w:val="left" w:pos="217"/>
                <w:tab w:val="left" w:pos="501"/>
              </w:tabs>
              <w:jc w:val="both"/>
              <w:rPr>
                <w:color w:val="000000"/>
                <w:sz w:val="22"/>
                <w:szCs w:val="22"/>
                <w:lang w:eastAsia="en-US"/>
              </w:rPr>
            </w:pPr>
            <w:r w:rsidRPr="007C1C31">
              <w:rPr>
                <w:color w:val="000000"/>
                <w:sz w:val="22"/>
                <w:szCs w:val="22"/>
                <w:lang w:eastAsia="en-US"/>
              </w:rPr>
              <w:t>Her yarıyıl sonunda sorumlu olduğu dersler için öğrenciler tarafından doldurulan ders değerlendirme formu sonuçlarına göre iyileştirme çalışmaları yapmak.</w:t>
            </w:r>
          </w:p>
          <w:p w14:paraId="437D3BF4" w14:textId="77777777" w:rsidR="0033262E" w:rsidRPr="007C1C31" w:rsidRDefault="0033262E" w:rsidP="0033262E">
            <w:pPr>
              <w:numPr>
                <w:ilvl w:val="0"/>
                <w:numId w:val="2"/>
              </w:numPr>
              <w:tabs>
                <w:tab w:val="left" w:pos="217"/>
                <w:tab w:val="left" w:pos="501"/>
              </w:tabs>
              <w:jc w:val="both"/>
              <w:rPr>
                <w:color w:val="000000"/>
                <w:sz w:val="22"/>
                <w:szCs w:val="22"/>
                <w:lang w:eastAsia="en-US"/>
              </w:rPr>
            </w:pPr>
            <w:r w:rsidRPr="007C1C31">
              <w:rPr>
                <w:bCs/>
                <w:sz w:val="22"/>
                <w:szCs w:val="22"/>
              </w:rPr>
              <w:t>Her yarıyıl sonunda s</w:t>
            </w:r>
            <w:r w:rsidRPr="007C1C31">
              <w:rPr>
                <w:sz w:val="22"/>
                <w:szCs w:val="22"/>
              </w:rPr>
              <w:t>orumlusu olduğu derslerin içerikleri ve uygulama biçimlerinde teklif edeceği değişiklikler var ise ilgili değişiklikleri gerekçeleri ile Bölüm Başkanlığına öneri olarak sunmak,</w:t>
            </w:r>
          </w:p>
          <w:p w14:paraId="5CF92330" w14:textId="77777777" w:rsidR="0033262E" w:rsidRPr="007C1C31" w:rsidRDefault="0033262E" w:rsidP="0033262E">
            <w:pPr>
              <w:numPr>
                <w:ilvl w:val="0"/>
                <w:numId w:val="2"/>
              </w:numPr>
              <w:tabs>
                <w:tab w:val="left" w:pos="217"/>
                <w:tab w:val="left" w:pos="501"/>
              </w:tabs>
              <w:jc w:val="both"/>
              <w:rPr>
                <w:color w:val="000000"/>
                <w:sz w:val="22"/>
                <w:szCs w:val="22"/>
                <w:lang w:eastAsia="en-US"/>
              </w:rPr>
            </w:pPr>
            <w:proofErr w:type="spellStart"/>
            <w:r w:rsidRPr="007C1C31">
              <w:rPr>
                <w:color w:val="000000"/>
                <w:sz w:val="22"/>
                <w:szCs w:val="22"/>
                <w:lang w:eastAsia="en-US"/>
              </w:rPr>
              <w:t>Erasmus</w:t>
            </w:r>
            <w:proofErr w:type="spellEnd"/>
            <w:r w:rsidRPr="007C1C31">
              <w:rPr>
                <w:color w:val="000000"/>
                <w:sz w:val="22"/>
                <w:szCs w:val="22"/>
                <w:lang w:eastAsia="en-US"/>
              </w:rPr>
              <w:t>, Farabi ve Mevlana değişim programları vb. ile ilgili çalışmalara katılmak,</w:t>
            </w:r>
          </w:p>
          <w:p w14:paraId="45143CE3" w14:textId="77777777" w:rsidR="0033262E" w:rsidRPr="007C1C31" w:rsidRDefault="0033262E" w:rsidP="0033262E">
            <w:pPr>
              <w:numPr>
                <w:ilvl w:val="0"/>
                <w:numId w:val="2"/>
              </w:numPr>
              <w:tabs>
                <w:tab w:val="left" w:pos="217"/>
                <w:tab w:val="left" w:pos="501"/>
              </w:tabs>
              <w:jc w:val="both"/>
              <w:rPr>
                <w:color w:val="000000"/>
                <w:sz w:val="22"/>
                <w:szCs w:val="22"/>
                <w:lang w:eastAsia="en-US"/>
              </w:rPr>
            </w:pPr>
            <w:r>
              <w:rPr>
                <w:color w:val="000000"/>
                <w:sz w:val="22"/>
                <w:szCs w:val="22"/>
                <w:lang w:eastAsia="en-US"/>
              </w:rPr>
              <w:t>Üst yönetimce verilen akademik ve idari</w:t>
            </w:r>
            <w:r w:rsidRPr="007C1C31">
              <w:rPr>
                <w:color w:val="000000"/>
                <w:sz w:val="22"/>
                <w:szCs w:val="22"/>
                <w:lang w:eastAsia="en-US"/>
              </w:rPr>
              <w:t xml:space="preserve"> görevleri yerine getirmek,</w:t>
            </w:r>
          </w:p>
          <w:p w14:paraId="2CECA340" w14:textId="77777777" w:rsidR="0033262E" w:rsidRDefault="0033262E" w:rsidP="0033262E">
            <w:pPr>
              <w:numPr>
                <w:ilvl w:val="0"/>
                <w:numId w:val="2"/>
              </w:numPr>
              <w:tabs>
                <w:tab w:val="left" w:pos="217"/>
                <w:tab w:val="left" w:pos="501"/>
              </w:tabs>
              <w:jc w:val="both"/>
              <w:rPr>
                <w:color w:val="000000"/>
                <w:sz w:val="22"/>
                <w:szCs w:val="22"/>
                <w:lang w:eastAsia="en-US"/>
              </w:rPr>
            </w:pPr>
            <w:r w:rsidRPr="007C1C31">
              <w:rPr>
                <w:color w:val="000000"/>
                <w:sz w:val="22"/>
                <w:szCs w:val="22"/>
                <w:lang w:eastAsia="en-US"/>
              </w:rPr>
              <w:t>Bölümce yapılan araştırmalara ve projelere katkıda bulunmak,</w:t>
            </w:r>
          </w:p>
          <w:p w14:paraId="43DFCC97" w14:textId="77777777" w:rsidR="0033262E" w:rsidRPr="007C1C31" w:rsidRDefault="0033262E" w:rsidP="0033262E">
            <w:pPr>
              <w:numPr>
                <w:ilvl w:val="0"/>
                <w:numId w:val="2"/>
              </w:numPr>
              <w:tabs>
                <w:tab w:val="left" w:pos="217"/>
                <w:tab w:val="left" w:pos="501"/>
              </w:tabs>
              <w:jc w:val="both"/>
              <w:rPr>
                <w:color w:val="000000"/>
                <w:sz w:val="22"/>
                <w:szCs w:val="22"/>
                <w:lang w:eastAsia="en-US"/>
              </w:rPr>
            </w:pPr>
            <w:r w:rsidRPr="007C1C31">
              <w:rPr>
                <w:color w:val="000000"/>
                <w:sz w:val="22"/>
                <w:szCs w:val="22"/>
                <w:lang w:eastAsia="en-US"/>
              </w:rPr>
              <w:t xml:space="preserve">İç kontrol Standartları Eylem Planının uygulama alanında belirtilen kendi sorumluluğunda olan faaliyetleri yerine getirmek, </w:t>
            </w:r>
          </w:p>
          <w:p w14:paraId="14A65702" w14:textId="12F37F2E" w:rsidR="0033262E" w:rsidRDefault="0033262E" w:rsidP="0033262E">
            <w:pPr>
              <w:numPr>
                <w:ilvl w:val="0"/>
                <w:numId w:val="2"/>
              </w:numPr>
              <w:tabs>
                <w:tab w:val="left" w:pos="217"/>
                <w:tab w:val="left" w:pos="501"/>
              </w:tabs>
              <w:jc w:val="both"/>
              <w:rPr>
                <w:color w:val="000000"/>
                <w:sz w:val="22"/>
                <w:szCs w:val="22"/>
                <w:lang w:eastAsia="en-US"/>
              </w:rPr>
            </w:pPr>
            <w:r w:rsidRPr="007C1C31">
              <w:rPr>
                <w:color w:val="000000"/>
                <w:sz w:val="22"/>
                <w:szCs w:val="22"/>
                <w:lang w:eastAsia="en-US"/>
              </w:rPr>
              <w:t>Yüksek Öğretim Kanunu ve Yönetmeliklerinde belirtilen diğer görevleri yapmak,</w:t>
            </w:r>
          </w:p>
          <w:p w14:paraId="39137978" w14:textId="3D3153C1" w:rsidR="0033262E" w:rsidRDefault="00DD2B37" w:rsidP="0033262E">
            <w:pPr>
              <w:numPr>
                <w:ilvl w:val="0"/>
                <w:numId w:val="2"/>
              </w:numPr>
              <w:tabs>
                <w:tab w:val="left" w:pos="217"/>
                <w:tab w:val="left" w:pos="501"/>
              </w:tabs>
              <w:jc w:val="both"/>
              <w:rPr>
                <w:color w:val="000000"/>
                <w:sz w:val="22"/>
                <w:szCs w:val="22"/>
                <w:lang w:eastAsia="en-US"/>
              </w:rPr>
            </w:pPr>
            <w:r>
              <w:rPr>
                <w:color w:val="000000"/>
                <w:sz w:val="22"/>
                <w:szCs w:val="22"/>
                <w:lang w:eastAsia="en-US"/>
              </w:rPr>
              <w:lastRenderedPageBreak/>
              <w:t>Birim yönetiminin</w:t>
            </w:r>
            <w:r w:rsidR="0033262E" w:rsidRPr="007C1C31">
              <w:rPr>
                <w:color w:val="000000"/>
                <w:sz w:val="22"/>
                <w:szCs w:val="22"/>
                <w:lang w:eastAsia="en-US"/>
              </w:rPr>
              <w:t xml:space="preserve"> ve Bölüm Başkanlığının verdiği görevleri yapmak</w:t>
            </w:r>
            <w:r w:rsidR="0033262E">
              <w:rPr>
                <w:color w:val="000000"/>
                <w:sz w:val="22"/>
                <w:szCs w:val="22"/>
                <w:lang w:eastAsia="en-US"/>
              </w:rPr>
              <w:t xml:space="preserve">, talep ettiği </w:t>
            </w:r>
            <w:r w:rsidR="0033262E" w:rsidRPr="007C1C31">
              <w:rPr>
                <w:color w:val="000000"/>
                <w:sz w:val="22"/>
                <w:szCs w:val="22"/>
                <w:lang w:eastAsia="en-US"/>
              </w:rPr>
              <w:t>toplantılara katılmak, faaliyetlere destek vermek,</w:t>
            </w:r>
          </w:p>
          <w:p w14:paraId="3465996C" w14:textId="1E2C211C" w:rsidR="004D2120" w:rsidRPr="0033262E" w:rsidRDefault="0033262E" w:rsidP="008A7387">
            <w:pPr>
              <w:numPr>
                <w:ilvl w:val="0"/>
                <w:numId w:val="2"/>
              </w:numPr>
              <w:tabs>
                <w:tab w:val="left" w:pos="217"/>
                <w:tab w:val="left" w:pos="501"/>
              </w:tabs>
              <w:jc w:val="both"/>
              <w:rPr>
                <w:color w:val="000000"/>
                <w:sz w:val="22"/>
                <w:szCs w:val="22"/>
                <w:lang w:eastAsia="en-US"/>
              </w:rPr>
            </w:pPr>
            <w:r w:rsidRPr="007C1C31">
              <w:rPr>
                <w:color w:val="000000"/>
                <w:sz w:val="22"/>
                <w:szCs w:val="22"/>
                <w:lang w:eastAsia="en-US"/>
              </w:rPr>
              <w:t>Öğretim Görevlileri yukarıda yazılı olan bütün bu görevleri kanunlara ve yönetmeliklere uygun olarak yerine getirirken, Bölüm Başkan</w:t>
            </w:r>
            <w:r>
              <w:rPr>
                <w:color w:val="000000"/>
                <w:sz w:val="22"/>
                <w:szCs w:val="22"/>
                <w:lang w:eastAsia="en-US"/>
              </w:rPr>
              <w:t xml:space="preserve">ı ve </w:t>
            </w:r>
            <w:r w:rsidR="00DD2B37">
              <w:rPr>
                <w:color w:val="000000"/>
                <w:sz w:val="22"/>
                <w:szCs w:val="22"/>
                <w:lang w:eastAsia="en-US"/>
              </w:rPr>
              <w:t>Birim yönetimine</w:t>
            </w:r>
            <w:r w:rsidRPr="007C1C31">
              <w:rPr>
                <w:color w:val="000000"/>
                <w:sz w:val="22"/>
                <w:szCs w:val="22"/>
                <w:lang w:eastAsia="en-US"/>
              </w:rPr>
              <w:t xml:space="preserve"> karşı sorumludur.</w:t>
            </w:r>
          </w:p>
        </w:tc>
      </w:tr>
    </w:tbl>
    <w:p w14:paraId="0C7BE0D1" w14:textId="77777777" w:rsidR="004D2120" w:rsidRPr="007C1C31" w:rsidRDefault="004D2120" w:rsidP="004D2120">
      <w:pPr>
        <w:ind w:right="253"/>
        <w:rPr>
          <w:b/>
          <w:bCs/>
          <w:sz w:val="22"/>
          <w:szCs w:val="22"/>
        </w:rPr>
      </w:pPr>
    </w:p>
    <w:p w14:paraId="076C6794" w14:textId="77777777" w:rsidR="004D2120" w:rsidRPr="007C1C31" w:rsidRDefault="004D2120" w:rsidP="004D2120">
      <w:pPr>
        <w:ind w:right="253"/>
        <w:rPr>
          <w:b/>
          <w:bCs/>
          <w:sz w:val="22"/>
          <w:szCs w:val="22"/>
        </w:rPr>
      </w:pPr>
    </w:p>
    <w:p w14:paraId="64CE4E56" w14:textId="77777777" w:rsidR="004D2120" w:rsidRDefault="004D2120" w:rsidP="004D2120"/>
    <w:p w14:paraId="59A03493" w14:textId="77777777" w:rsidR="004D2120" w:rsidRDefault="004D2120" w:rsidP="004D2120"/>
    <w:p w14:paraId="720DC47D" w14:textId="77777777" w:rsidR="004D2120" w:rsidRDefault="004D2120" w:rsidP="004D2120"/>
    <w:p w14:paraId="1537EE7E" w14:textId="77777777" w:rsidR="004D2120" w:rsidRDefault="004D2120" w:rsidP="004D2120"/>
    <w:p w14:paraId="1DC50DA6" w14:textId="77777777" w:rsidR="004D2120" w:rsidRDefault="004D2120" w:rsidP="004D2120"/>
    <w:p w14:paraId="2BA963C9" w14:textId="77777777" w:rsidR="004D2120" w:rsidRDefault="004D2120" w:rsidP="004D2120"/>
    <w:p w14:paraId="1C65DEA1" w14:textId="77777777" w:rsidR="004D2120" w:rsidRDefault="004D2120" w:rsidP="004D2120"/>
    <w:p w14:paraId="0B1A7A58" w14:textId="77777777" w:rsidR="004D2120" w:rsidRDefault="004D2120" w:rsidP="004D2120"/>
    <w:p w14:paraId="11D429C2" w14:textId="77777777" w:rsidR="004D2120" w:rsidRDefault="004D2120" w:rsidP="004D2120"/>
    <w:p w14:paraId="1352BC44" w14:textId="77777777" w:rsidR="004D2120" w:rsidRDefault="004D2120" w:rsidP="004D2120"/>
    <w:p w14:paraId="7FFF3D98" w14:textId="77777777" w:rsidR="004D2120" w:rsidRDefault="004D2120" w:rsidP="004D2120"/>
    <w:sectPr w:rsidR="004D212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D1B99" w14:textId="77777777" w:rsidR="00C11325" w:rsidRDefault="00C11325" w:rsidP="009B3098">
      <w:r>
        <w:separator/>
      </w:r>
    </w:p>
  </w:endnote>
  <w:endnote w:type="continuationSeparator" w:id="0">
    <w:p w14:paraId="0788A037" w14:textId="77777777" w:rsidR="00C11325" w:rsidRDefault="00C11325" w:rsidP="009B3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horzAnchor="margin" w:tblpXSpec="center" w:tblpY="206"/>
      <w:tblW w:w="1020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3564"/>
      <w:gridCol w:w="3800"/>
      <w:gridCol w:w="2838"/>
    </w:tblGrid>
    <w:tr w:rsidR="00475083" w:rsidRPr="00995BEA" w14:paraId="127A6AA6" w14:textId="77777777" w:rsidTr="005900E5">
      <w:trPr>
        <w:trHeight w:val="554"/>
      </w:trPr>
      <w:tc>
        <w:tcPr>
          <w:tcW w:w="3564" w:type="dxa"/>
          <w:shd w:val="clear" w:color="auto" w:fill="A6A6A6"/>
        </w:tcPr>
        <w:p w14:paraId="018986B9" w14:textId="77777777" w:rsidR="00475083" w:rsidRPr="00995BEA" w:rsidRDefault="00475083" w:rsidP="00475083">
          <w:pPr>
            <w:pStyle w:val="TableParagraph"/>
            <w:spacing w:before="1"/>
            <w:ind w:left="840" w:right="831"/>
            <w:jc w:val="center"/>
            <w:rPr>
              <w:rFonts w:eastAsia="Calibri"/>
              <w:b/>
              <w:sz w:val="16"/>
            </w:rPr>
          </w:pPr>
          <w:r w:rsidRPr="00995BEA">
            <w:rPr>
              <w:rFonts w:eastAsia="Calibri"/>
              <w:b/>
              <w:sz w:val="16"/>
            </w:rPr>
            <w:t>Hazırlayan</w:t>
          </w:r>
        </w:p>
        <w:p w14:paraId="140214EB" w14:textId="77777777" w:rsidR="00475083" w:rsidRPr="00995BEA" w:rsidRDefault="00475083" w:rsidP="00475083">
          <w:pPr>
            <w:pStyle w:val="TableParagraph"/>
            <w:ind w:left="0"/>
            <w:rPr>
              <w:rFonts w:eastAsia="Calibri"/>
              <w:sz w:val="16"/>
            </w:rPr>
          </w:pPr>
        </w:p>
        <w:p w14:paraId="2EE932B4" w14:textId="77777777" w:rsidR="00475083" w:rsidRPr="00995BEA" w:rsidRDefault="00475083" w:rsidP="00475083">
          <w:pPr>
            <w:pStyle w:val="TableParagraph"/>
            <w:spacing w:line="165" w:lineRule="exact"/>
            <w:ind w:left="840" w:right="832"/>
            <w:jc w:val="center"/>
            <w:rPr>
              <w:rFonts w:eastAsia="Calibri"/>
              <w:b/>
              <w:sz w:val="16"/>
            </w:rPr>
          </w:pPr>
          <w:r w:rsidRPr="00995BEA">
            <w:rPr>
              <w:rFonts w:eastAsia="Calibri"/>
              <w:b/>
              <w:spacing w:val="-5"/>
              <w:sz w:val="16"/>
            </w:rPr>
            <w:t xml:space="preserve"> </w:t>
          </w:r>
          <w:r w:rsidRPr="00995BEA">
            <w:rPr>
              <w:rFonts w:eastAsia="Calibri"/>
              <w:b/>
              <w:sz w:val="16"/>
            </w:rPr>
            <w:t>Kalite</w:t>
          </w:r>
          <w:r w:rsidRPr="00995BEA">
            <w:rPr>
              <w:rFonts w:eastAsia="Calibri"/>
              <w:b/>
              <w:spacing w:val="-1"/>
              <w:sz w:val="16"/>
            </w:rPr>
            <w:t xml:space="preserve"> </w:t>
          </w:r>
          <w:r w:rsidRPr="00995BEA">
            <w:rPr>
              <w:rFonts w:eastAsia="Calibri"/>
              <w:b/>
              <w:sz w:val="16"/>
            </w:rPr>
            <w:t>Ko</w:t>
          </w:r>
          <w:r>
            <w:rPr>
              <w:rFonts w:eastAsia="Calibri"/>
              <w:b/>
              <w:sz w:val="16"/>
            </w:rPr>
            <w:t>ordinatörlüğü</w:t>
          </w:r>
        </w:p>
      </w:tc>
      <w:tc>
        <w:tcPr>
          <w:tcW w:w="3800" w:type="dxa"/>
          <w:shd w:val="clear" w:color="auto" w:fill="A6A6A6"/>
        </w:tcPr>
        <w:p w14:paraId="434AFED7" w14:textId="77777777" w:rsidR="00475083" w:rsidRPr="00995BEA" w:rsidRDefault="00475083" w:rsidP="00475083">
          <w:pPr>
            <w:pStyle w:val="TableParagraph"/>
            <w:spacing w:before="1"/>
            <w:ind w:left="1072" w:right="1060"/>
            <w:jc w:val="center"/>
            <w:rPr>
              <w:rFonts w:eastAsia="Calibri"/>
              <w:b/>
              <w:sz w:val="16"/>
            </w:rPr>
          </w:pPr>
          <w:r w:rsidRPr="00995BEA">
            <w:rPr>
              <w:rFonts w:eastAsia="Calibri"/>
              <w:b/>
              <w:sz w:val="16"/>
            </w:rPr>
            <w:t>Doküman</w:t>
          </w:r>
          <w:r w:rsidRPr="00995BEA">
            <w:rPr>
              <w:rFonts w:eastAsia="Calibri"/>
              <w:b/>
              <w:spacing w:val="-3"/>
              <w:sz w:val="16"/>
            </w:rPr>
            <w:t xml:space="preserve"> </w:t>
          </w:r>
          <w:r w:rsidRPr="00995BEA">
            <w:rPr>
              <w:rFonts w:eastAsia="Calibri"/>
              <w:b/>
              <w:sz w:val="16"/>
            </w:rPr>
            <w:t>Onay</w:t>
          </w:r>
        </w:p>
        <w:p w14:paraId="2F1F5F54" w14:textId="77777777" w:rsidR="00475083" w:rsidRPr="00995BEA" w:rsidRDefault="00475083" w:rsidP="00475083">
          <w:pPr>
            <w:pStyle w:val="TableParagraph"/>
            <w:ind w:left="0"/>
            <w:rPr>
              <w:rFonts w:eastAsia="Calibri"/>
              <w:sz w:val="16"/>
            </w:rPr>
          </w:pPr>
        </w:p>
        <w:p w14:paraId="6198D3CF" w14:textId="77777777" w:rsidR="00475083" w:rsidRPr="00995BEA" w:rsidRDefault="00475083" w:rsidP="00475083">
          <w:pPr>
            <w:pStyle w:val="TableParagraph"/>
            <w:spacing w:line="165" w:lineRule="exact"/>
            <w:ind w:left="1072" w:right="1060"/>
            <w:jc w:val="center"/>
            <w:rPr>
              <w:rFonts w:eastAsia="Calibri"/>
              <w:b/>
              <w:sz w:val="16"/>
            </w:rPr>
          </w:pPr>
          <w:r w:rsidRPr="00995BEA">
            <w:rPr>
              <w:rFonts w:eastAsia="Calibri"/>
              <w:b/>
              <w:sz w:val="16"/>
            </w:rPr>
            <w:t>Kalite</w:t>
          </w:r>
          <w:r w:rsidRPr="00995BEA">
            <w:rPr>
              <w:rFonts w:eastAsia="Calibri"/>
              <w:b/>
              <w:spacing w:val="-5"/>
              <w:sz w:val="16"/>
            </w:rPr>
            <w:t xml:space="preserve"> </w:t>
          </w:r>
          <w:r w:rsidRPr="00995BEA">
            <w:rPr>
              <w:rFonts w:eastAsia="Calibri"/>
              <w:b/>
              <w:sz w:val="16"/>
            </w:rPr>
            <w:t>Koordinatörlüğü</w:t>
          </w:r>
        </w:p>
      </w:tc>
      <w:tc>
        <w:tcPr>
          <w:tcW w:w="2838" w:type="dxa"/>
          <w:shd w:val="clear" w:color="auto" w:fill="A6A6A6"/>
        </w:tcPr>
        <w:p w14:paraId="3F02922D" w14:textId="77777777" w:rsidR="00475083" w:rsidRPr="00995BEA" w:rsidRDefault="00475083" w:rsidP="00475083">
          <w:pPr>
            <w:pStyle w:val="TableParagraph"/>
            <w:spacing w:before="1"/>
            <w:ind w:left="410" w:right="401"/>
            <w:jc w:val="center"/>
            <w:rPr>
              <w:rFonts w:eastAsia="Calibri"/>
              <w:b/>
              <w:sz w:val="16"/>
            </w:rPr>
          </w:pPr>
          <w:r w:rsidRPr="00995BEA">
            <w:rPr>
              <w:rFonts w:eastAsia="Calibri"/>
              <w:b/>
              <w:sz w:val="16"/>
            </w:rPr>
            <w:t>Yürürlük</w:t>
          </w:r>
          <w:r w:rsidRPr="00995BEA">
            <w:rPr>
              <w:rFonts w:eastAsia="Calibri"/>
              <w:b/>
              <w:spacing w:val="-3"/>
              <w:sz w:val="16"/>
            </w:rPr>
            <w:t xml:space="preserve"> </w:t>
          </w:r>
          <w:r w:rsidRPr="00995BEA">
            <w:rPr>
              <w:rFonts w:eastAsia="Calibri"/>
              <w:b/>
              <w:sz w:val="16"/>
            </w:rPr>
            <w:t>Onay</w:t>
          </w:r>
        </w:p>
        <w:p w14:paraId="60AEAA5A" w14:textId="77777777" w:rsidR="00475083" w:rsidRPr="00995BEA" w:rsidRDefault="00475083" w:rsidP="00475083">
          <w:pPr>
            <w:pStyle w:val="TableParagraph"/>
            <w:ind w:left="0"/>
            <w:rPr>
              <w:rFonts w:eastAsia="Calibri"/>
              <w:sz w:val="16"/>
            </w:rPr>
          </w:pPr>
        </w:p>
        <w:p w14:paraId="27CA2F04" w14:textId="77777777" w:rsidR="00475083" w:rsidRPr="00995BEA" w:rsidRDefault="00475083" w:rsidP="00475083">
          <w:pPr>
            <w:pStyle w:val="TableParagraph"/>
            <w:spacing w:line="165" w:lineRule="exact"/>
            <w:ind w:left="410" w:right="402"/>
            <w:jc w:val="center"/>
            <w:rPr>
              <w:rFonts w:eastAsia="Calibri"/>
              <w:b/>
              <w:sz w:val="16"/>
            </w:rPr>
          </w:pPr>
          <w:r w:rsidRPr="00995BEA">
            <w:rPr>
              <w:rFonts w:eastAsia="Calibri"/>
              <w:b/>
              <w:sz w:val="16"/>
            </w:rPr>
            <w:t>Üniversite</w:t>
          </w:r>
          <w:r w:rsidRPr="00995BEA">
            <w:rPr>
              <w:rFonts w:eastAsia="Calibri"/>
              <w:b/>
              <w:spacing w:val="-6"/>
              <w:sz w:val="16"/>
            </w:rPr>
            <w:t xml:space="preserve"> </w:t>
          </w:r>
          <w:r w:rsidRPr="00995BEA">
            <w:rPr>
              <w:rFonts w:eastAsia="Calibri"/>
              <w:b/>
              <w:sz w:val="16"/>
            </w:rPr>
            <w:t>Kalite</w:t>
          </w:r>
          <w:r w:rsidRPr="00995BEA">
            <w:rPr>
              <w:rFonts w:eastAsia="Calibri"/>
              <w:b/>
              <w:spacing w:val="-2"/>
              <w:sz w:val="16"/>
            </w:rPr>
            <w:t xml:space="preserve"> </w:t>
          </w:r>
          <w:r w:rsidRPr="00995BEA">
            <w:rPr>
              <w:rFonts w:eastAsia="Calibri"/>
              <w:b/>
              <w:sz w:val="16"/>
            </w:rPr>
            <w:t>Komisyonu</w:t>
          </w:r>
        </w:p>
      </w:tc>
    </w:tr>
  </w:tbl>
  <w:p w14:paraId="00A631B0" w14:textId="425A532D" w:rsidR="009B3098" w:rsidRDefault="009B309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8CD8E" w14:textId="77777777" w:rsidR="00C11325" w:rsidRDefault="00C11325" w:rsidP="009B3098">
      <w:r>
        <w:separator/>
      </w:r>
    </w:p>
  </w:footnote>
  <w:footnote w:type="continuationSeparator" w:id="0">
    <w:p w14:paraId="4A24CC98" w14:textId="77777777" w:rsidR="00C11325" w:rsidRDefault="00C11325" w:rsidP="009B30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37926" w14:textId="0D34179A" w:rsidR="00DD2B37" w:rsidRDefault="00DD2B37">
    <w:pPr>
      <w:pStyle w:val="stBilgi"/>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1762"/>
      <w:gridCol w:w="3438"/>
      <w:gridCol w:w="1697"/>
      <w:gridCol w:w="1169"/>
    </w:tblGrid>
    <w:tr w:rsidR="00DD2B37" w:rsidRPr="007C1C31" w14:paraId="740E561C" w14:textId="77777777" w:rsidTr="008312E1">
      <w:trPr>
        <w:trHeight w:val="425"/>
      </w:trPr>
      <w:tc>
        <w:tcPr>
          <w:tcW w:w="1744" w:type="dxa"/>
          <w:vMerge w:val="restart"/>
          <w:shd w:val="clear" w:color="auto" w:fill="auto"/>
        </w:tcPr>
        <w:p w14:paraId="215B818C" w14:textId="77777777" w:rsidR="00DD2B37" w:rsidRPr="007C1C31" w:rsidRDefault="00DD2B37" w:rsidP="00DD2B37">
          <w:pPr>
            <w:jc w:val="center"/>
            <w:rPr>
              <w:sz w:val="22"/>
              <w:szCs w:val="22"/>
            </w:rPr>
          </w:pPr>
          <w:r w:rsidRPr="007C1C31">
            <w:rPr>
              <w:noProof/>
              <w:sz w:val="22"/>
              <w:szCs w:val="22"/>
            </w:rPr>
            <w:drawing>
              <wp:anchor distT="0" distB="0" distL="114300" distR="114300" simplePos="0" relativeHeight="251659264" behindDoc="0" locked="0" layoutInCell="1" allowOverlap="1" wp14:anchorId="7977F95D" wp14:editId="0AA660CC">
                <wp:simplePos x="0" y="0"/>
                <wp:positionH relativeFrom="column">
                  <wp:posOffset>8890</wp:posOffset>
                </wp:positionH>
                <wp:positionV relativeFrom="paragraph">
                  <wp:posOffset>160020</wp:posOffset>
                </wp:positionV>
                <wp:extent cx="923290" cy="588010"/>
                <wp:effectExtent l="0" t="0" r="0" b="2540"/>
                <wp:wrapNone/>
                <wp:docPr id="6614801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3290" cy="5880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66" w:type="dxa"/>
          <w:gridSpan w:val="4"/>
          <w:shd w:val="clear" w:color="auto" w:fill="auto"/>
          <w:vAlign w:val="center"/>
        </w:tcPr>
        <w:p w14:paraId="4E858A10" w14:textId="69226A32" w:rsidR="00DD2B37" w:rsidRPr="00475CEA" w:rsidRDefault="00DD2B37" w:rsidP="00DD2B37">
          <w:pPr>
            <w:jc w:val="center"/>
            <w:rPr>
              <w:bCs/>
              <w:sz w:val="22"/>
              <w:szCs w:val="22"/>
            </w:rPr>
          </w:pPr>
          <w:r w:rsidRPr="00475CEA">
            <w:rPr>
              <w:bCs/>
              <w:sz w:val="22"/>
              <w:szCs w:val="22"/>
            </w:rPr>
            <w:t>ÖĞRETİM GÖREVLİSİ GÖREV TANIMI</w:t>
          </w:r>
        </w:p>
      </w:tc>
    </w:tr>
    <w:tr w:rsidR="00DD2B37" w:rsidRPr="007C1C31" w14:paraId="75D9A9C4" w14:textId="77777777" w:rsidTr="008312E1">
      <w:trPr>
        <w:trHeight w:hRule="exact" w:val="312"/>
      </w:trPr>
      <w:tc>
        <w:tcPr>
          <w:tcW w:w="1744" w:type="dxa"/>
          <w:vMerge/>
          <w:shd w:val="clear" w:color="auto" w:fill="auto"/>
        </w:tcPr>
        <w:p w14:paraId="650A6941" w14:textId="77777777" w:rsidR="00DD2B37" w:rsidRPr="007C1C31" w:rsidRDefault="00DD2B37" w:rsidP="00DD2B37">
          <w:pPr>
            <w:rPr>
              <w:sz w:val="22"/>
              <w:szCs w:val="22"/>
            </w:rPr>
          </w:pPr>
        </w:p>
      </w:tc>
      <w:tc>
        <w:tcPr>
          <w:tcW w:w="1762" w:type="dxa"/>
          <w:shd w:val="clear" w:color="auto" w:fill="auto"/>
        </w:tcPr>
        <w:p w14:paraId="5B74D0D5" w14:textId="77777777" w:rsidR="00DD2B37" w:rsidRPr="007C1C31" w:rsidRDefault="00DD2B37" w:rsidP="00DD2B37">
          <w:pPr>
            <w:rPr>
              <w:sz w:val="22"/>
              <w:szCs w:val="22"/>
            </w:rPr>
          </w:pPr>
          <w:r w:rsidRPr="007C1C31">
            <w:rPr>
              <w:sz w:val="22"/>
              <w:szCs w:val="22"/>
            </w:rPr>
            <w:t>Doküman No</w:t>
          </w:r>
          <w:r>
            <w:rPr>
              <w:sz w:val="22"/>
              <w:szCs w:val="22"/>
            </w:rPr>
            <w:t>.</w:t>
          </w:r>
        </w:p>
      </w:tc>
      <w:tc>
        <w:tcPr>
          <w:tcW w:w="3438" w:type="dxa"/>
          <w:shd w:val="clear" w:color="auto" w:fill="auto"/>
        </w:tcPr>
        <w:p w14:paraId="2B7C5CA3" w14:textId="77777777" w:rsidR="00DD2B37" w:rsidRPr="007C1C31" w:rsidRDefault="00DD2B37" w:rsidP="00DD2B37">
          <w:pPr>
            <w:spacing w:after="200" w:line="276" w:lineRule="auto"/>
            <w:rPr>
              <w:rFonts w:eastAsia="Calibri"/>
              <w:sz w:val="22"/>
              <w:szCs w:val="22"/>
              <w:lang w:eastAsia="en-US"/>
            </w:rPr>
          </w:pPr>
          <w:r w:rsidRPr="00125971">
            <w:rPr>
              <w:rFonts w:eastAsia="Calibri"/>
              <w:sz w:val="22"/>
              <w:szCs w:val="22"/>
              <w:lang w:eastAsia="en-US"/>
            </w:rPr>
            <w:t>GRT-0</w:t>
          </w:r>
          <w:r>
            <w:rPr>
              <w:rFonts w:eastAsia="Calibri"/>
              <w:sz w:val="22"/>
              <w:szCs w:val="22"/>
              <w:lang w:eastAsia="en-US"/>
            </w:rPr>
            <w:t>23</w:t>
          </w:r>
        </w:p>
      </w:tc>
      <w:tc>
        <w:tcPr>
          <w:tcW w:w="1697" w:type="dxa"/>
          <w:shd w:val="clear" w:color="auto" w:fill="auto"/>
        </w:tcPr>
        <w:p w14:paraId="5CFAAA36" w14:textId="77777777" w:rsidR="00DD2B37" w:rsidRPr="007C1C31" w:rsidRDefault="00DD2B37" w:rsidP="00DD2B37">
          <w:pPr>
            <w:rPr>
              <w:sz w:val="22"/>
              <w:szCs w:val="22"/>
            </w:rPr>
          </w:pPr>
          <w:r w:rsidRPr="007C1C31">
            <w:rPr>
              <w:sz w:val="22"/>
              <w:szCs w:val="22"/>
            </w:rPr>
            <w:t>Revizyon Tarihi</w:t>
          </w:r>
        </w:p>
      </w:tc>
      <w:tc>
        <w:tcPr>
          <w:tcW w:w="1169" w:type="dxa"/>
          <w:shd w:val="clear" w:color="auto" w:fill="auto"/>
        </w:tcPr>
        <w:p w14:paraId="1760C105" w14:textId="77777777" w:rsidR="00DD2B37" w:rsidRPr="007C1C31" w:rsidRDefault="00DD2B37" w:rsidP="00DD2B37">
          <w:pPr>
            <w:rPr>
              <w:sz w:val="22"/>
              <w:szCs w:val="22"/>
            </w:rPr>
          </w:pPr>
        </w:p>
      </w:tc>
    </w:tr>
    <w:tr w:rsidR="00DD2B37" w:rsidRPr="007C1C31" w14:paraId="3319D2B2" w14:textId="77777777" w:rsidTr="008312E1">
      <w:trPr>
        <w:trHeight w:hRule="exact" w:val="312"/>
      </w:trPr>
      <w:tc>
        <w:tcPr>
          <w:tcW w:w="1744" w:type="dxa"/>
          <w:vMerge/>
          <w:shd w:val="clear" w:color="auto" w:fill="auto"/>
        </w:tcPr>
        <w:p w14:paraId="3A52B2F3" w14:textId="77777777" w:rsidR="00DD2B37" w:rsidRPr="007C1C31" w:rsidRDefault="00DD2B37" w:rsidP="00DD2B37">
          <w:pPr>
            <w:rPr>
              <w:sz w:val="22"/>
              <w:szCs w:val="22"/>
            </w:rPr>
          </w:pPr>
        </w:p>
      </w:tc>
      <w:tc>
        <w:tcPr>
          <w:tcW w:w="1762" w:type="dxa"/>
          <w:shd w:val="clear" w:color="auto" w:fill="auto"/>
        </w:tcPr>
        <w:p w14:paraId="11A7D9BD" w14:textId="77777777" w:rsidR="00DD2B37" w:rsidRPr="007C1C31" w:rsidRDefault="00DD2B37" w:rsidP="00DD2B37">
          <w:pPr>
            <w:rPr>
              <w:sz w:val="22"/>
              <w:szCs w:val="22"/>
            </w:rPr>
          </w:pPr>
          <w:r w:rsidRPr="007C1C31">
            <w:rPr>
              <w:sz w:val="22"/>
              <w:szCs w:val="22"/>
            </w:rPr>
            <w:t>İlk Yayın Tarihi</w:t>
          </w:r>
        </w:p>
      </w:tc>
      <w:tc>
        <w:tcPr>
          <w:tcW w:w="3438" w:type="dxa"/>
          <w:shd w:val="clear" w:color="auto" w:fill="auto"/>
        </w:tcPr>
        <w:p w14:paraId="6F58E9BF" w14:textId="77777777" w:rsidR="00DD2B37" w:rsidRPr="007C1C31" w:rsidRDefault="00DD2B37" w:rsidP="00DD2B37">
          <w:pPr>
            <w:spacing w:after="200" w:line="276" w:lineRule="auto"/>
            <w:rPr>
              <w:rFonts w:eastAsia="Calibri"/>
              <w:sz w:val="22"/>
              <w:szCs w:val="22"/>
              <w:lang w:eastAsia="en-US"/>
            </w:rPr>
          </w:pPr>
        </w:p>
      </w:tc>
      <w:tc>
        <w:tcPr>
          <w:tcW w:w="1697" w:type="dxa"/>
          <w:shd w:val="clear" w:color="auto" w:fill="auto"/>
        </w:tcPr>
        <w:p w14:paraId="410C262B" w14:textId="77777777" w:rsidR="00DD2B37" w:rsidRPr="007C1C31" w:rsidRDefault="00DD2B37" w:rsidP="00DD2B37">
          <w:pPr>
            <w:rPr>
              <w:sz w:val="22"/>
              <w:szCs w:val="22"/>
            </w:rPr>
          </w:pPr>
          <w:r w:rsidRPr="007C1C31">
            <w:rPr>
              <w:sz w:val="22"/>
              <w:szCs w:val="22"/>
            </w:rPr>
            <w:t>Revizyon No</w:t>
          </w:r>
          <w:r>
            <w:rPr>
              <w:sz w:val="22"/>
              <w:szCs w:val="22"/>
            </w:rPr>
            <w:t>.</w:t>
          </w:r>
        </w:p>
      </w:tc>
      <w:tc>
        <w:tcPr>
          <w:tcW w:w="1169" w:type="dxa"/>
          <w:shd w:val="clear" w:color="auto" w:fill="auto"/>
        </w:tcPr>
        <w:p w14:paraId="0A211B1D" w14:textId="77777777" w:rsidR="00DD2B37" w:rsidRPr="007C1C31" w:rsidRDefault="00DD2B37" w:rsidP="00DD2B37">
          <w:pPr>
            <w:rPr>
              <w:sz w:val="22"/>
              <w:szCs w:val="22"/>
            </w:rPr>
          </w:pPr>
        </w:p>
      </w:tc>
    </w:tr>
    <w:tr w:rsidR="00DD2B37" w:rsidRPr="007C1C31" w14:paraId="191298AE" w14:textId="77777777" w:rsidTr="008312E1">
      <w:trPr>
        <w:trHeight w:hRule="exact" w:val="312"/>
      </w:trPr>
      <w:tc>
        <w:tcPr>
          <w:tcW w:w="1744" w:type="dxa"/>
          <w:vMerge/>
          <w:shd w:val="clear" w:color="auto" w:fill="auto"/>
        </w:tcPr>
        <w:p w14:paraId="00B4C21F" w14:textId="77777777" w:rsidR="00DD2B37" w:rsidRPr="007C1C31" w:rsidRDefault="00DD2B37" w:rsidP="00DD2B37">
          <w:pPr>
            <w:rPr>
              <w:sz w:val="22"/>
              <w:szCs w:val="22"/>
            </w:rPr>
          </w:pPr>
        </w:p>
      </w:tc>
      <w:tc>
        <w:tcPr>
          <w:tcW w:w="5200" w:type="dxa"/>
          <w:gridSpan w:val="2"/>
          <w:shd w:val="clear" w:color="auto" w:fill="auto"/>
        </w:tcPr>
        <w:p w14:paraId="3187CF5E" w14:textId="77777777" w:rsidR="00DD2B37" w:rsidRPr="007C1C31" w:rsidRDefault="00DD2B37" w:rsidP="00DD2B37">
          <w:pPr>
            <w:pStyle w:val="Balk1"/>
            <w:ind w:left="-142" w:right="-219"/>
            <w:rPr>
              <w:i/>
              <w:iCs/>
              <w:color w:val="FF0000"/>
              <w:sz w:val="22"/>
              <w:szCs w:val="22"/>
              <w:u w:val="single"/>
            </w:rPr>
          </w:pPr>
        </w:p>
        <w:p w14:paraId="422B1427" w14:textId="77777777" w:rsidR="00DD2B37" w:rsidRPr="007C1C31" w:rsidRDefault="00DD2B37" w:rsidP="00DD2B37">
          <w:pPr>
            <w:rPr>
              <w:sz w:val="22"/>
              <w:szCs w:val="22"/>
            </w:rPr>
          </w:pPr>
        </w:p>
      </w:tc>
      <w:tc>
        <w:tcPr>
          <w:tcW w:w="1697" w:type="dxa"/>
          <w:shd w:val="clear" w:color="auto" w:fill="auto"/>
        </w:tcPr>
        <w:p w14:paraId="09B0FAB2" w14:textId="77777777" w:rsidR="00DD2B37" w:rsidRPr="007C1C31" w:rsidRDefault="00DD2B37" w:rsidP="00DD2B37">
          <w:pPr>
            <w:rPr>
              <w:sz w:val="22"/>
              <w:szCs w:val="22"/>
            </w:rPr>
          </w:pPr>
          <w:r w:rsidRPr="007C1C31">
            <w:rPr>
              <w:sz w:val="22"/>
              <w:szCs w:val="22"/>
            </w:rPr>
            <w:t xml:space="preserve">Sayfa </w:t>
          </w:r>
          <w:r>
            <w:rPr>
              <w:sz w:val="22"/>
              <w:szCs w:val="22"/>
            </w:rPr>
            <w:t>Adedi</w:t>
          </w:r>
        </w:p>
      </w:tc>
      <w:tc>
        <w:tcPr>
          <w:tcW w:w="1169" w:type="dxa"/>
          <w:shd w:val="clear" w:color="auto" w:fill="auto"/>
        </w:tcPr>
        <w:p w14:paraId="658E2447" w14:textId="77777777" w:rsidR="00DD2B37" w:rsidRPr="007C1C31" w:rsidRDefault="00DD2B37" w:rsidP="00DD2B37">
          <w:pPr>
            <w:rPr>
              <w:sz w:val="22"/>
              <w:szCs w:val="22"/>
            </w:rPr>
          </w:pPr>
          <w:r>
            <w:rPr>
              <w:sz w:val="22"/>
              <w:szCs w:val="22"/>
            </w:rPr>
            <w:t>2</w:t>
          </w:r>
        </w:p>
      </w:tc>
    </w:tr>
  </w:tbl>
  <w:p w14:paraId="4FDBD79B" w14:textId="77777777" w:rsidR="00475083" w:rsidRDefault="00475083">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D4589"/>
    <w:multiLevelType w:val="hybridMultilevel"/>
    <w:tmpl w:val="99B07EF2"/>
    <w:lvl w:ilvl="0" w:tplc="A5E4BBE6">
      <w:start w:val="1"/>
      <w:numFmt w:val="decimal"/>
      <w:lvlText w:val="%1."/>
      <w:lvlJc w:val="left"/>
      <w:pPr>
        <w:ind w:left="360" w:hanging="360"/>
      </w:pPr>
      <w:rPr>
        <w:b/>
        <w:bCs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295A18DF"/>
    <w:multiLevelType w:val="hybridMultilevel"/>
    <w:tmpl w:val="1D0815FC"/>
    <w:lvl w:ilvl="0" w:tplc="6D7C9582">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7BA"/>
    <w:rsid w:val="000450D1"/>
    <w:rsid w:val="00125971"/>
    <w:rsid w:val="001961A5"/>
    <w:rsid w:val="001F0AD5"/>
    <w:rsid w:val="00251A25"/>
    <w:rsid w:val="0033262E"/>
    <w:rsid w:val="00370D2F"/>
    <w:rsid w:val="004549DF"/>
    <w:rsid w:val="00475083"/>
    <w:rsid w:val="00475CEA"/>
    <w:rsid w:val="004B46BC"/>
    <w:rsid w:val="004D2120"/>
    <w:rsid w:val="004D2E50"/>
    <w:rsid w:val="006E33FD"/>
    <w:rsid w:val="007417BA"/>
    <w:rsid w:val="008A7387"/>
    <w:rsid w:val="009B3098"/>
    <w:rsid w:val="00A22975"/>
    <w:rsid w:val="00B85D16"/>
    <w:rsid w:val="00C11325"/>
    <w:rsid w:val="00C67020"/>
    <w:rsid w:val="00DD2B37"/>
    <w:rsid w:val="00DD485E"/>
    <w:rsid w:val="00E24067"/>
    <w:rsid w:val="00E67BFF"/>
    <w:rsid w:val="00EF159D"/>
    <w:rsid w:val="00EF76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DB7F2"/>
  <w15:chartTrackingRefBased/>
  <w15:docId w15:val="{E93467AB-935B-4CA4-90C6-44C6901ED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120"/>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9"/>
    <w:qFormat/>
    <w:rsid w:val="004D2120"/>
    <w:pPr>
      <w:keepNext/>
      <w:jc w:val="center"/>
      <w:outlineLvl w:val="0"/>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4D2120"/>
    <w:rPr>
      <w:rFonts w:ascii="Times New Roman" w:eastAsia="Times New Roman" w:hAnsi="Times New Roman" w:cs="Times New Roman"/>
      <w:b/>
      <w:sz w:val="20"/>
      <w:szCs w:val="20"/>
      <w:lang w:eastAsia="tr-TR"/>
    </w:rPr>
  </w:style>
  <w:style w:type="paragraph" w:customStyle="1" w:styleId="TableParagraph">
    <w:name w:val="Table Paragraph"/>
    <w:basedOn w:val="Normal"/>
    <w:uiPriority w:val="1"/>
    <w:qFormat/>
    <w:rsid w:val="004D2120"/>
    <w:pPr>
      <w:widowControl w:val="0"/>
      <w:autoSpaceDE w:val="0"/>
      <w:autoSpaceDN w:val="0"/>
      <w:ind w:left="107"/>
    </w:pPr>
    <w:rPr>
      <w:sz w:val="22"/>
      <w:szCs w:val="22"/>
      <w:lang w:eastAsia="en-US"/>
    </w:rPr>
  </w:style>
  <w:style w:type="paragraph" w:styleId="stBilgi">
    <w:name w:val="header"/>
    <w:basedOn w:val="Normal"/>
    <w:link w:val="stBilgiChar"/>
    <w:uiPriority w:val="99"/>
    <w:unhideWhenUsed/>
    <w:rsid w:val="009B3098"/>
    <w:pPr>
      <w:tabs>
        <w:tab w:val="center" w:pos="4536"/>
        <w:tab w:val="right" w:pos="9072"/>
      </w:tabs>
    </w:pPr>
  </w:style>
  <w:style w:type="character" w:customStyle="1" w:styleId="stBilgiChar">
    <w:name w:val="Üst Bilgi Char"/>
    <w:basedOn w:val="VarsaylanParagrafYazTipi"/>
    <w:link w:val="stBilgi"/>
    <w:uiPriority w:val="99"/>
    <w:rsid w:val="009B3098"/>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9B3098"/>
    <w:pPr>
      <w:tabs>
        <w:tab w:val="center" w:pos="4536"/>
        <w:tab w:val="right" w:pos="9072"/>
      </w:tabs>
    </w:pPr>
  </w:style>
  <w:style w:type="character" w:customStyle="1" w:styleId="AltBilgiChar">
    <w:name w:val="Alt Bilgi Char"/>
    <w:basedOn w:val="VarsaylanParagrafYazTipi"/>
    <w:link w:val="AltBilgi"/>
    <w:uiPriority w:val="99"/>
    <w:rsid w:val="009B3098"/>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3326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2729</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Damla Duman</dc:creator>
  <cp:keywords/>
  <dc:description/>
  <cp:lastModifiedBy>E.Karacan</cp:lastModifiedBy>
  <cp:revision>2</cp:revision>
  <cp:lastPrinted>2024-01-17T10:55:00Z</cp:lastPrinted>
  <dcterms:created xsi:type="dcterms:W3CDTF">2024-12-10T09:59:00Z</dcterms:created>
  <dcterms:modified xsi:type="dcterms:W3CDTF">2024-12-10T09:59:00Z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3fd56174ab5f1d9adc82acf3dc6cddb6ffb7acc8f0a7ec86fcdfca57a868c3be</vt:lpwstr>
  </property>
</Properties>
</file>