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2732A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2732A" w:rsidRPr="007C1C31" w:rsidRDefault="0042732A" w:rsidP="0042732A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34AD747D" w:rsidR="0042732A" w:rsidRPr="007C1C31" w:rsidRDefault="0042732A" w:rsidP="0042732A">
            <w:pPr>
              <w:rPr>
                <w:sz w:val="22"/>
                <w:szCs w:val="22"/>
              </w:rPr>
            </w:pPr>
          </w:p>
        </w:tc>
      </w:tr>
      <w:tr w:rsidR="0042732A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2732A" w:rsidRPr="007C1C31" w:rsidRDefault="0042732A" w:rsidP="0042732A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7D5A9FC5" w:rsidR="0042732A" w:rsidRPr="007C1C31" w:rsidRDefault="0042732A" w:rsidP="0042732A">
            <w:pPr>
              <w:rPr>
                <w:sz w:val="22"/>
                <w:szCs w:val="22"/>
              </w:rPr>
            </w:pPr>
          </w:p>
        </w:tc>
      </w:tr>
      <w:tr w:rsidR="004D2120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4E125051" w:rsidR="004D2120" w:rsidRPr="007C1C31" w:rsidRDefault="004B46B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Başkanı</w:t>
            </w:r>
          </w:p>
        </w:tc>
      </w:tr>
      <w:tr w:rsidR="004D2120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4D2120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18B049E5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660B5BDF" w14:textId="77777777" w:rsidTr="003D3782">
        <w:tc>
          <w:tcPr>
            <w:tcW w:w="3123" w:type="dxa"/>
            <w:shd w:val="clear" w:color="auto" w:fill="auto"/>
          </w:tcPr>
          <w:p w14:paraId="243BEB88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29C78378" w14:textId="30B45350" w:rsidR="004D2120" w:rsidRPr="007C1C31" w:rsidRDefault="009B309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</w:t>
            </w:r>
            <w:r w:rsidR="004B46BC">
              <w:rPr>
                <w:sz w:val="22"/>
                <w:szCs w:val="22"/>
              </w:rPr>
              <w:t xml:space="preserve"> Yardımcısı</w:t>
            </w:r>
          </w:p>
        </w:tc>
      </w:tr>
      <w:tr w:rsidR="004D2120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10EE2732" w:rsidR="004D2120" w:rsidRPr="007C1C31" w:rsidRDefault="0042732A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D2120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7DFA265C" w:rsidR="004D2120" w:rsidRPr="00ED5516" w:rsidRDefault="004B46BC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B46BC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içeresinde yapar.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9B3098">
        <w:trPr>
          <w:trHeight w:val="1550"/>
        </w:trPr>
        <w:tc>
          <w:tcPr>
            <w:tcW w:w="9848" w:type="dxa"/>
          </w:tcPr>
          <w:p w14:paraId="57A8DC0F" w14:textId="77777777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Cs/>
                <w:sz w:val="22"/>
                <w:szCs w:val="22"/>
                <w:lang w:eastAsia="en-US"/>
              </w:rPr>
              <w:t xml:space="preserve">2547 Sayılı Kanununun 21’inci maddesinde belirtilen hususlara ilaveten bölüm başkanının görev, yetki ve Bölüm Başkanına bağlı görev yapar. Bölüm Başkan Yardımcısının görev, yetki ve sorumlulukları şunlardır: </w:t>
            </w:r>
            <w:r w:rsidRPr="004B46BC">
              <w:rPr>
                <w:b/>
                <w:sz w:val="22"/>
                <w:szCs w:val="22"/>
                <w:lang w:eastAsia="en-US"/>
              </w:rPr>
              <w:t>1.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Bölümün eğitim-öğretim ve araştırma faaliyetlerini düzenli ve verimli bir şekilde yürütülmesinde Bölüm Başkanına yardımcı olmak,  </w:t>
            </w:r>
          </w:p>
          <w:p w14:paraId="45021BB5" w14:textId="77777777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2.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2547 Sayılı YÖK Kanunu kapsamında akademik görevlerini yerine getirmek, </w:t>
            </w:r>
          </w:p>
          <w:p w14:paraId="49DED943" w14:textId="77777777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3.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Görevlendirildiği komisyon, komite, kurul, vb. çalışma gruplarında yer almak, gerektiğinde ilgili raporları hazırlamak,  </w:t>
            </w:r>
          </w:p>
          <w:p w14:paraId="436A4267" w14:textId="6DEC60E3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4.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Bağlı olduğu</w:t>
            </w:r>
            <w:r w:rsidR="00142DF0">
              <w:rPr>
                <w:bCs/>
                <w:sz w:val="22"/>
                <w:szCs w:val="22"/>
                <w:lang w:eastAsia="en-US"/>
              </w:rPr>
              <w:t xml:space="preserve"> süreç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ile üst yönetici/yöneticileri tarafından verilen diğer işleri ve işlemleri yapmak,  </w:t>
            </w:r>
          </w:p>
          <w:p w14:paraId="3465996C" w14:textId="46FC0568" w:rsidR="004D2120" w:rsidRPr="0082087F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5.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Yukarıda belirtilen görevlerin yerine getirilmesinde Bölüm Başkanına karşı sorumludur. </w:t>
            </w:r>
            <w:r w:rsidR="009B3098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11D429C2" w14:textId="77777777" w:rsidR="004D2120" w:rsidRDefault="004D2120" w:rsidP="004D2120"/>
    <w:p w14:paraId="1352BC44" w14:textId="77777777" w:rsidR="004D2120" w:rsidRDefault="004D2120" w:rsidP="004D2120"/>
    <w:p w14:paraId="680D2670" w14:textId="77777777" w:rsidR="004D2120" w:rsidRDefault="004D2120" w:rsidP="004D2120"/>
    <w:p w14:paraId="5B887732" w14:textId="77777777" w:rsidR="004D2120" w:rsidRDefault="004D2120" w:rsidP="004D2120"/>
    <w:p w14:paraId="1D519135" w14:textId="77777777" w:rsidR="004D2120" w:rsidRDefault="004D2120" w:rsidP="004D2120"/>
    <w:p w14:paraId="5D3C6223" w14:textId="77777777" w:rsidR="004D2120" w:rsidRDefault="004D2120" w:rsidP="004D2120"/>
    <w:p w14:paraId="708DC848" w14:textId="77777777" w:rsidR="004D2120" w:rsidRDefault="004D2120" w:rsidP="004D2120"/>
    <w:p w14:paraId="0A495DC2" w14:textId="77777777" w:rsidR="004D2120" w:rsidRDefault="004D2120" w:rsidP="004D2120"/>
    <w:p w14:paraId="4264548C" w14:textId="77777777" w:rsidR="004D2120" w:rsidRDefault="004D2120" w:rsidP="004D2120"/>
    <w:p w14:paraId="195DB29A" w14:textId="77777777" w:rsidR="009B3098" w:rsidRDefault="009B3098" w:rsidP="004D2120"/>
    <w:p w14:paraId="1E0C69B6" w14:textId="77777777" w:rsidR="004D2120" w:rsidRDefault="004D2120" w:rsidP="004D2120"/>
    <w:p w14:paraId="5D401F57" w14:textId="77777777" w:rsidR="004D2120" w:rsidRDefault="004D2120" w:rsidP="004D2120"/>
    <w:sectPr w:rsidR="004D2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0E3" w14:textId="77777777" w:rsidR="00274FCC" w:rsidRDefault="00274FCC" w:rsidP="009B3098">
      <w:r>
        <w:separator/>
      </w:r>
    </w:p>
  </w:endnote>
  <w:endnote w:type="continuationSeparator" w:id="0">
    <w:p w14:paraId="4106077E" w14:textId="77777777" w:rsidR="00274FCC" w:rsidRDefault="00274FCC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6C554E" w:rsidRPr="00995BEA" w14:paraId="348954EC" w14:textId="77777777" w:rsidTr="00141538">
      <w:trPr>
        <w:trHeight w:val="554"/>
      </w:trPr>
      <w:tc>
        <w:tcPr>
          <w:tcW w:w="3564" w:type="dxa"/>
          <w:shd w:val="clear" w:color="auto" w:fill="A6A6A6"/>
        </w:tcPr>
        <w:p w14:paraId="01ACB869" w14:textId="77777777" w:rsidR="006C554E" w:rsidRPr="00995BEA" w:rsidRDefault="006C554E" w:rsidP="006C554E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A2B32B7" w14:textId="77777777" w:rsidR="006C554E" w:rsidRPr="00995BEA" w:rsidRDefault="006C554E" w:rsidP="006C554E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46458004" w14:textId="77777777" w:rsidR="006C554E" w:rsidRPr="00995BEA" w:rsidRDefault="006C554E" w:rsidP="006C554E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734CE966" w14:textId="77777777" w:rsidR="006C554E" w:rsidRPr="00995BEA" w:rsidRDefault="006C554E" w:rsidP="006C554E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8A2E6FD" w14:textId="77777777" w:rsidR="006C554E" w:rsidRPr="00995BEA" w:rsidRDefault="006C554E" w:rsidP="006C554E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4C845858" w14:textId="77777777" w:rsidR="006C554E" w:rsidRPr="00995BEA" w:rsidRDefault="006C554E" w:rsidP="006C554E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0C3DF90B" w14:textId="77777777" w:rsidR="006C554E" w:rsidRPr="00995BEA" w:rsidRDefault="006C554E" w:rsidP="006C554E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4087E301" w14:textId="77777777" w:rsidR="006C554E" w:rsidRPr="00995BEA" w:rsidRDefault="006C554E" w:rsidP="006C554E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381C6632" w14:textId="77777777" w:rsidR="006C554E" w:rsidRPr="00995BEA" w:rsidRDefault="006C554E" w:rsidP="006C554E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47F34F34" w:rsidR="009B3098" w:rsidRDefault="009B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E301" w14:textId="77777777" w:rsidR="00274FCC" w:rsidRDefault="00274FCC" w:rsidP="009B3098">
      <w:r>
        <w:separator/>
      </w:r>
    </w:p>
  </w:footnote>
  <w:footnote w:type="continuationSeparator" w:id="0">
    <w:p w14:paraId="79E54863" w14:textId="77777777" w:rsidR="00274FCC" w:rsidRDefault="00274FCC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5981" w14:textId="5658D876" w:rsidR="00574724" w:rsidRDefault="00574724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574724" w:rsidRPr="007C1C31" w14:paraId="43A5D6EA" w14:textId="77777777" w:rsidTr="00A87160">
      <w:trPr>
        <w:trHeight w:hRule="exact" w:val="312"/>
      </w:trPr>
      <w:tc>
        <w:tcPr>
          <w:tcW w:w="1744" w:type="dxa"/>
          <w:vMerge w:val="restart"/>
          <w:shd w:val="clear" w:color="auto" w:fill="auto"/>
        </w:tcPr>
        <w:p w14:paraId="06697791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8950807" wp14:editId="6861CC82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923290" cy="579120"/>
                <wp:effectExtent l="0" t="0" r="0" b="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71CB704" w14:textId="2F42E73A" w:rsidR="00574724" w:rsidRPr="00CD21CB" w:rsidRDefault="006B2361" w:rsidP="006B2361">
          <w:pPr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                       </w:t>
          </w:r>
          <w:r w:rsidR="00574724" w:rsidRPr="00CD21CB">
            <w:rPr>
              <w:bCs/>
              <w:sz w:val="22"/>
              <w:szCs w:val="22"/>
            </w:rPr>
            <w:t>BÖLÜM BAŞKAN YARDIMCISI</w:t>
          </w:r>
        </w:p>
      </w:tc>
    </w:tr>
    <w:tr w:rsidR="00574724" w:rsidRPr="007C1C31" w14:paraId="28510D62" w14:textId="77777777" w:rsidTr="00A8716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C32AD44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F2DF6DF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164BBCE" w14:textId="77777777" w:rsidR="00574724" w:rsidRPr="007C1C31" w:rsidRDefault="00574724" w:rsidP="005747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902862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21</w:t>
          </w:r>
        </w:p>
      </w:tc>
      <w:tc>
        <w:tcPr>
          <w:tcW w:w="1697" w:type="dxa"/>
          <w:shd w:val="clear" w:color="auto" w:fill="auto"/>
        </w:tcPr>
        <w:p w14:paraId="00858BCE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E5119A2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</w:tr>
    <w:tr w:rsidR="00574724" w:rsidRPr="007C1C31" w14:paraId="09B189AD" w14:textId="77777777" w:rsidTr="00A8716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87B2A0D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80914D2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F708139" w14:textId="77777777" w:rsidR="00574724" w:rsidRPr="007C1C31" w:rsidRDefault="00574724" w:rsidP="005747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A1A45BE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4CF2624A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</w:tr>
    <w:tr w:rsidR="00574724" w:rsidRPr="007C1C31" w14:paraId="2526B25B" w14:textId="77777777" w:rsidTr="00A8716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AFB6EB0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1AD242A9" w14:textId="77777777" w:rsidR="00574724" w:rsidRPr="007C1C31" w:rsidRDefault="00574724" w:rsidP="00574724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F541674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7EE1771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7405FF79" w14:textId="77777777" w:rsidR="00574724" w:rsidRPr="007C1C31" w:rsidRDefault="00574724" w:rsidP="0057472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F831204" w14:textId="77777777" w:rsidR="00574724" w:rsidRDefault="005747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A"/>
    <w:rsid w:val="00142DF0"/>
    <w:rsid w:val="00215A65"/>
    <w:rsid w:val="00247883"/>
    <w:rsid w:val="00251A25"/>
    <w:rsid w:val="00274FCC"/>
    <w:rsid w:val="0042732A"/>
    <w:rsid w:val="004549DF"/>
    <w:rsid w:val="004B46BC"/>
    <w:rsid w:val="004D2120"/>
    <w:rsid w:val="00574724"/>
    <w:rsid w:val="006B2361"/>
    <w:rsid w:val="006C554E"/>
    <w:rsid w:val="007417BA"/>
    <w:rsid w:val="00902862"/>
    <w:rsid w:val="009646E1"/>
    <w:rsid w:val="009B3098"/>
    <w:rsid w:val="00BD7220"/>
    <w:rsid w:val="00CD21CB"/>
    <w:rsid w:val="00E37884"/>
    <w:rsid w:val="00EF159D"/>
    <w:rsid w:val="00F302BB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1083</Characters>
  <Application>Microsoft Office Word</Application>
  <DocSecurity>0</DocSecurity>
  <Lines>53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16</cp:revision>
  <cp:lastPrinted>2024-01-17T10:55:00Z</cp:lastPrinted>
  <dcterms:created xsi:type="dcterms:W3CDTF">2024-01-17T10:26:00Z</dcterms:created>
  <dcterms:modified xsi:type="dcterms:W3CDTF">2024-04-07T13:47:00Z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20096e8107d397ab69300a7310bc07ac9dbf2cc7021ead222c2ce3f6c1736cf9</vt:lpwstr>
  </property>
</Properties>
</file>