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76C0" w14:textId="77777777" w:rsidR="00F56F53" w:rsidRPr="00454D81" w:rsidRDefault="00F56F53" w:rsidP="00F56F53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42788289" w14:textId="77777777" w:rsidR="00F56F53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43492FE" w14:textId="77777777" w:rsidR="00F56F53" w:rsidRPr="008E4536" w:rsidRDefault="00F56F53" w:rsidP="00F56F53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</w:t>
      </w:r>
      <w:r>
        <w:rPr>
          <w:rFonts w:ascii="Cambria" w:hAnsi="Cambria"/>
        </w:rPr>
        <w:t>bulunan kaynak makinelerinin</w:t>
      </w:r>
      <w:r w:rsidRPr="00E603CE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 xml:space="preserve">güvenliği kurallarına uygun şekilde </w:t>
      </w:r>
      <w:r>
        <w:rPr>
          <w:rFonts w:ascii="Cambria" w:hAnsi="Cambria"/>
        </w:rPr>
        <w:t xml:space="preserve">kullanılmasını tanımlamaktır. </w:t>
      </w:r>
    </w:p>
    <w:p w14:paraId="0FF7F038" w14:textId="77777777" w:rsidR="00F56F53" w:rsidRPr="00454D81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5C754EF" w14:textId="77777777" w:rsidR="00F56F53" w:rsidRPr="00454D81" w:rsidRDefault="00F56F53" w:rsidP="00F56F53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3B121E54" w14:textId="77777777" w:rsidR="00F56F53" w:rsidRPr="00CF09F7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1225D9F" w14:textId="77777777" w:rsidR="00F56F53" w:rsidRPr="008E4536" w:rsidRDefault="00F56F53" w:rsidP="00F56F53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kullanılan </w:t>
      </w:r>
      <w:r>
        <w:rPr>
          <w:rFonts w:ascii="Cambria" w:hAnsi="Cambria"/>
        </w:rPr>
        <w:t xml:space="preserve">tüm kaynak makinelerini </w:t>
      </w:r>
      <w:r w:rsidRPr="008E4536">
        <w:rPr>
          <w:rFonts w:ascii="Cambria" w:hAnsi="Cambria"/>
        </w:rPr>
        <w:t>kapsar.</w:t>
      </w:r>
    </w:p>
    <w:p w14:paraId="5E6E862F" w14:textId="77777777" w:rsidR="00F56F53" w:rsidRPr="00454D81" w:rsidRDefault="00F56F53" w:rsidP="00F56F53">
      <w:pPr>
        <w:pStyle w:val="AralkYok"/>
        <w:ind w:right="-1"/>
        <w:rPr>
          <w:color w:val="002060"/>
        </w:rPr>
      </w:pPr>
    </w:p>
    <w:p w14:paraId="511EA8B7" w14:textId="77777777" w:rsidR="00F56F53" w:rsidRPr="00454D81" w:rsidRDefault="00F56F53" w:rsidP="00F56F53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203B670C" w14:textId="77777777" w:rsidR="00F56F53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1ED06C9" w14:textId="77777777" w:rsidR="00F56F53" w:rsidRPr="008E4536" w:rsidRDefault="00F56F53" w:rsidP="00F56F53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</w:t>
      </w:r>
      <w:r>
        <w:rPr>
          <w:rFonts w:ascii="Cambria" w:hAnsi="Cambria"/>
        </w:rPr>
        <w:t>;</w:t>
      </w:r>
      <w:r w:rsidRPr="008E4536">
        <w:rPr>
          <w:rFonts w:ascii="Cambria" w:hAnsi="Cambria"/>
        </w:rPr>
        <w:t xml:space="preserve">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14:paraId="1D2A152E" w14:textId="77777777" w:rsidR="00F56F53" w:rsidRPr="00454D81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27B361D" w14:textId="77777777" w:rsidR="00F56F53" w:rsidRPr="00454D81" w:rsidRDefault="00F56F53" w:rsidP="00F56F53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7BD7DD69" w14:textId="77777777" w:rsidR="00F56F53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355EE1F" w14:textId="77777777" w:rsidR="00F56F53" w:rsidRPr="008E4536" w:rsidRDefault="00F56F53" w:rsidP="00F56F53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14:paraId="329CE12C" w14:textId="77777777" w:rsidR="00F56F53" w:rsidRPr="00454D81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7771A85" w14:textId="77777777" w:rsidR="00F56F53" w:rsidRPr="00454D81" w:rsidRDefault="00F56F53" w:rsidP="00F56F53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3F41295F" w14:textId="77777777" w:rsidR="00F56F53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1DCFF2C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Makinesinin fişi prize takılır.</w:t>
      </w:r>
    </w:p>
    <w:p w14:paraId="563616C5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Kaynatılacak parçaya şase irtibatlandırılır ve pense uygun elektrot bağlanır.</w:t>
      </w:r>
    </w:p>
    <w:p w14:paraId="741470F5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 xml:space="preserve">Kaynak makinesi uygun ampere alınır. ( Elektrot kalınlığının her 1 mm si için 40 amper) </w:t>
      </w:r>
    </w:p>
    <w:p w14:paraId="4F3E6EB3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işlemine başlamadan kaynak merkezi camı kontrol edilir.</w:t>
      </w:r>
    </w:p>
    <w:p w14:paraId="2929A112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İş bitiminde fiş prizden çekilir.</w:t>
      </w:r>
    </w:p>
    <w:p w14:paraId="3D14F36D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makinesine günlük bakım yapılırken elektrik kaynağının kabloları kontrol edilir.</w:t>
      </w:r>
    </w:p>
    <w:p w14:paraId="67CB65CD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Elektrik kaçağı olup olmadığı kontrol edilir.</w:t>
      </w:r>
    </w:p>
    <w:p w14:paraId="010D5513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Makinaların genel temizliği yapılır.</w:t>
      </w:r>
    </w:p>
    <w:p w14:paraId="77856715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makinesine haftalık bakım yapılırken elektrik kablolarının yalıtım özelliği kontrol edilir.</w:t>
      </w:r>
    </w:p>
    <w:p w14:paraId="53D07EC6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Pens, şase ayarları kontrol edilir.</w:t>
      </w:r>
    </w:p>
    <w:p w14:paraId="009C57C3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Kabloların bağlantılarında eksiklik, fazlalık, temassızlık olmamasına dikkat edilir.</w:t>
      </w:r>
    </w:p>
    <w:p w14:paraId="08DF818D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Gösterge lambaları kontrol edilir.</w:t>
      </w:r>
    </w:p>
    <w:p w14:paraId="0179AA10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Makinanın genel temizliği yapılır.</w:t>
      </w:r>
    </w:p>
    <w:p w14:paraId="337DCA65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makinesine elektrik ve elektronik sistemler kontrol edilir.</w:t>
      </w:r>
    </w:p>
    <w:p w14:paraId="7BCA44B7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Sigorta ve sargılar temizlenir.</w:t>
      </w:r>
    </w:p>
    <w:p w14:paraId="19BB2123" w14:textId="77777777" w:rsidR="00F56F53" w:rsidRPr="00C05FB2" w:rsidRDefault="00F56F53" w:rsidP="00F56F5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Fan kontrolü yapılır.</w:t>
      </w:r>
    </w:p>
    <w:p w14:paraId="3AF2EA8C" w14:textId="77777777" w:rsidR="00F56F53" w:rsidRDefault="00F56F53" w:rsidP="00F56F5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41CC47E" w14:textId="77777777" w:rsidR="00F56F53" w:rsidRDefault="00F56F53" w:rsidP="00F56F53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2EAAE220" w14:textId="77777777" w:rsidR="00F56F53" w:rsidRDefault="00F56F53" w:rsidP="00F56F53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6CB1C2FC" w14:textId="77777777" w:rsidR="00F56F53" w:rsidRDefault="00F56F53" w:rsidP="00F56F53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7A9223D2" w14:textId="77777777" w:rsidR="00F56F53" w:rsidRDefault="00F56F53" w:rsidP="00F56F53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53752D3E" w14:textId="77777777" w:rsidR="00F56F53" w:rsidRDefault="00F56F53" w:rsidP="00F56F53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14:paraId="51558A66" w14:textId="77777777" w:rsidR="00F56F53" w:rsidRDefault="00F56F53" w:rsidP="00F56F53">
      <w:pPr>
        <w:pStyle w:val="AralkYok"/>
        <w:ind w:left="1"/>
        <w:rPr>
          <w:rFonts w:ascii="Cambria" w:hAnsi="Cambria"/>
          <w:color w:val="002060"/>
        </w:rPr>
      </w:pPr>
    </w:p>
    <w:p w14:paraId="59AB53F4" w14:textId="77777777" w:rsidR="00F56F53" w:rsidRDefault="00F56F53" w:rsidP="00F56F53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1CC09CDF" w14:textId="77777777" w:rsidR="00F56F53" w:rsidRDefault="00F56F53" w:rsidP="00F56F53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44ED9B3" w14:textId="77777777" w:rsidR="00F56F53" w:rsidRPr="008A474C" w:rsidRDefault="00F56F53" w:rsidP="00F56F53">
      <w:pPr>
        <w:pStyle w:val="AralkYok"/>
        <w:numPr>
          <w:ilvl w:val="0"/>
          <w:numId w:val="4"/>
        </w:numPr>
        <w:ind w:left="851"/>
        <w:jc w:val="both"/>
        <w:rPr>
          <w:rFonts w:ascii="Cambria" w:hAnsi="Cambria" w:cs="Times New Roman"/>
        </w:rPr>
      </w:pPr>
      <w:r>
        <w:rPr>
          <w:rFonts w:ascii="Cambria" w:hAnsi="Cambria"/>
        </w:rPr>
        <w:t>Kaynak Makinesi Kullanma Kılavuz</w:t>
      </w:r>
    </w:p>
    <w:p w14:paraId="000274D5" w14:textId="77777777" w:rsidR="004D4FAA" w:rsidRDefault="004D4FAA" w:rsidP="00F56F53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sectPr w:rsidR="004D4FAA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972C" w14:textId="77777777" w:rsidR="006E5E9C" w:rsidRDefault="006E5E9C" w:rsidP="00534F7F">
      <w:pPr>
        <w:spacing w:line="240" w:lineRule="auto"/>
      </w:pPr>
      <w:r>
        <w:separator/>
      </w:r>
    </w:p>
  </w:endnote>
  <w:endnote w:type="continuationSeparator" w:id="0">
    <w:p w14:paraId="1C9953C5" w14:textId="77777777" w:rsidR="006E5E9C" w:rsidRDefault="006E5E9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3E2C" w14:textId="77777777" w:rsidR="006F17AC" w:rsidRDefault="006F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6E07F1" w14:paraId="1C52134A" w14:textId="77777777" w:rsidTr="002B4AA8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78DD855" w14:textId="77777777" w:rsidR="006E07F1" w:rsidRDefault="006E07F1" w:rsidP="006E07F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67B0F6BD" w14:textId="77777777" w:rsidR="006E07F1" w:rsidRDefault="006E07F1" w:rsidP="006E07F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AF6A3E7" w14:textId="77777777" w:rsidR="006E07F1" w:rsidRDefault="006E07F1" w:rsidP="006E07F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32FA9655" w14:textId="77777777" w:rsidR="006E07F1" w:rsidRDefault="006E07F1" w:rsidP="006E07F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5266044F" w14:textId="77777777" w:rsidR="006E07F1" w:rsidRDefault="006E07F1" w:rsidP="006E07F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2EC024D7" w14:textId="77777777" w:rsidR="006E07F1" w:rsidRDefault="006E07F1" w:rsidP="006E07F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13BAC6CB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9A49" w14:textId="77777777" w:rsidR="006F17AC" w:rsidRDefault="006F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535" w14:textId="77777777" w:rsidR="006E5E9C" w:rsidRDefault="006E5E9C" w:rsidP="00534F7F">
      <w:pPr>
        <w:spacing w:line="240" w:lineRule="auto"/>
      </w:pPr>
      <w:r>
        <w:separator/>
      </w:r>
    </w:p>
  </w:footnote>
  <w:footnote w:type="continuationSeparator" w:id="0">
    <w:p w14:paraId="56240AA4" w14:textId="77777777" w:rsidR="006E5E9C" w:rsidRDefault="006E5E9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8A33" w14:textId="77777777" w:rsidR="006F17AC" w:rsidRDefault="006E5E9C">
    <w:pPr>
      <w:pStyle w:val="stBilgi"/>
    </w:pPr>
    <w:r>
      <w:rPr>
        <w:noProof/>
        <w:lang w:val="tr-TR" w:eastAsia="tr-TR"/>
      </w:rPr>
      <w:pict w14:anchorId="646C7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438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5F175E" w:rsidRPr="00653303" w14:paraId="273030B9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0A66EB10" w14:textId="77777777" w:rsidR="005F175E" w:rsidRPr="00FF6E58" w:rsidRDefault="005F175E" w:rsidP="005F175E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2FE8A39C" wp14:editId="0AD96B85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9546EED" w14:textId="77777777" w:rsidR="005F175E" w:rsidRPr="0041225B" w:rsidRDefault="005F175E" w:rsidP="005F175E">
          <w:pPr>
            <w:pStyle w:val="AralkYok"/>
            <w:rPr>
              <w:rFonts w:ascii="Times New Roman" w:hAnsi="Times New Roman" w:cs="Times New Roman"/>
            </w:rPr>
          </w:pPr>
          <w:r w:rsidRPr="0041225B">
            <w:rPr>
              <w:rFonts w:ascii="Times New Roman" w:hAnsi="Times New Roman" w:cs="Times New Roman"/>
            </w:rPr>
            <w:t>KAYNAK MAKİNESİ KULLANMA TALİMATI</w:t>
          </w:r>
          <w:r w:rsidRPr="0041225B">
            <w:rPr>
              <w:rFonts w:ascii="Times New Roman" w:hAnsi="Times New Roman" w:cs="Times New Roman"/>
            </w:rPr>
            <w:tab/>
          </w:r>
        </w:p>
      </w:tc>
    </w:tr>
    <w:tr w:rsidR="005F175E" w:rsidRPr="00FF6E58" w14:paraId="2AA1C24B" w14:textId="77777777" w:rsidTr="00CE7758">
      <w:trPr>
        <w:trHeight w:hRule="exact" w:val="349"/>
      </w:trPr>
      <w:tc>
        <w:tcPr>
          <w:tcW w:w="1877" w:type="dxa"/>
          <w:vMerge/>
        </w:tcPr>
        <w:p w14:paraId="7EC9ECA4" w14:textId="77777777" w:rsidR="005F175E" w:rsidRPr="00FF6E58" w:rsidRDefault="005F175E" w:rsidP="005F175E">
          <w:pPr>
            <w:rPr>
              <w:rFonts w:ascii="Times New Roman"/>
            </w:rPr>
          </w:pPr>
        </w:p>
      </w:tc>
      <w:tc>
        <w:tcPr>
          <w:tcW w:w="1690" w:type="dxa"/>
        </w:tcPr>
        <w:p w14:paraId="23883BB4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3C672010" w14:textId="77777777" w:rsidR="005F175E" w:rsidRPr="00FF6E58" w:rsidRDefault="00774BB7" w:rsidP="005F175E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1A0353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33</w:t>
          </w:r>
        </w:p>
      </w:tc>
      <w:tc>
        <w:tcPr>
          <w:tcW w:w="2009" w:type="dxa"/>
        </w:tcPr>
        <w:p w14:paraId="5B45DE14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22657E0F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5F175E" w:rsidRPr="00FF6E58" w14:paraId="44217AB3" w14:textId="77777777" w:rsidTr="00CE7758">
      <w:trPr>
        <w:trHeight w:hRule="exact" w:val="349"/>
      </w:trPr>
      <w:tc>
        <w:tcPr>
          <w:tcW w:w="1877" w:type="dxa"/>
          <w:vMerge/>
        </w:tcPr>
        <w:p w14:paraId="1AA77D9B" w14:textId="77777777" w:rsidR="005F175E" w:rsidRPr="00FF6E58" w:rsidRDefault="005F175E" w:rsidP="005F175E">
          <w:pPr>
            <w:rPr>
              <w:rFonts w:ascii="Times New Roman"/>
            </w:rPr>
          </w:pPr>
        </w:p>
      </w:tc>
      <w:tc>
        <w:tcPr>
          <w:tcW w:w="1690" w:type="dxa"/>
        </w:tcPr>
        <w:p w14:paraId="268A6C4A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27692994" w14:textId="5325F51B" w:rsidR="005F175E" w:rsidRPr="00FF6E58" w:rsidRDefault="003156DA" w:rsidP="005F175E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086CCC50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50E6DFB8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5F175E" w:rsidRPr="00FF6E58" w14:paraId="68FF4969" w14:textId="77777777" w:rsidTr="00CE7758">
      <w:trPr>
        <w:trHeight w:hRule="exact" w:val="349"/>
      </w:trPr>
      <w:tc>
        <w:tcPr>
          <w:tcW w:w="1877" w:type="dxa"/>
          <w:vMerge/>
        </w:tcPr>
        <w:p w14:paraId="536CEB3C" w14:textId="77777777" w:rsidR="005F175E" w:rsidRPr="00FF6E58" w:rsidRDefault="005F175E" w:rsidP="005F175E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14893E35" w14:textId="77777777" w:rsidR="005F175E" w:rsidRPr="00FF6E58" w:rsidRDefault="005F175E" w:rsidP="005F175E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0242FD2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374B90D0" w14:textId="77777777" w:rsidR="005F175E" w:rsidRPr="00FF6E58" w:rsidRDefault="005F175E" w:rsidP="005F175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24B036C9" w14:textId="77777777" w:rsidR="004023B0" w:rsidRPr="004023B0" w:rsidRDefault="006E5E9C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51FE8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439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06D6" w14:textId="77777777" w:rsidR="006F17AC" w:rsidRDefault="006E5E9C">
    <w:pPr>
      <w:pStyle w:val="stBilgi"/>
    </w:pPr>
    <w:r>
      <w:rPr>
        <w:noProof/>
        <w:lang w:val="tr-TR" w:eastAsia="tr-TR"/>
      </w:rPr>
      <w:pict w14:anchorId="2D184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437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F32CD"/>
    <w:multiLevelType w:val="hybridMultilevel"/>
    <w:tmpl w:val="29DC2A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706B7D"/>
    <w:multiLevelType w:val="hybridMultilevel"/>
    <w:tmpl w:val="1DEA1D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726520">
    <w:abstractNumId w:val="1"/>
  </w:num>
  <w:num w:numId="2" w16cid:durableId="919218206">
    <w:abstractNumId w:val="4"/>
  </w:num>
  <w:num w:numId="3" w16cid:durableId="1291128362">
    <w:abstractNumId w:val="3"/>
  </w:num>
  <w:num w:numId="4" w16cid:durableId="1582760891">
    <w:abstractNumId w:val="0"/>
  </w:num>
  <w:num w:numId="5" w16cid:durableId="106086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5FDD"/>
    <w:rsid w:val="00081BB3"/>
    <w:rsid w:val="00135FCE"/>
    <w:rsid w:val="0014579E"/>
    <w:rsid w:val="00164950"/>
    <w:rsid w:val="0016547C"/>
    <w:rsid w:val="001842CA"/>
    <w:rsid w:val="001A0353"/>
    <w:rsid w:val="001E5F82"/>
    <w:rsid w:val="001F6791"/>
    <w:rsid w:val="00233A1A"/>
    <w:rsid w:val="00236E1E"/>
    <w:rsid w:val="00242EC2"/>
    <w:rsid w:val="00247EBC"/>
    <w:rsid w:val="002A43AE"/>
    <w:rsid w:val="002B4AA8"/>
    <w:rsid w:val="002B7653"/>
    <w:rsid w:val="002E5EBB"/>
    <w:rsid w:val="003156DA"/>
    <w:rsid w:val="00322D79"/>
    <w:rsid w:val="003230A8"/>
    <w:rsid w:val="00365EE5"/>
    <w:rsid w:val="004023B0"/>
    <w:rsid w:val="004627D8"/>
    <w:rsid w:val="00463663"/>
    <w:rsid w:val="0046511F"/>
    <w:rsid w:val="004D4FAA"/>
    <w:rsid w:val="004F27F3"/>
    <w:rsid w:val="00534F7F"/>
    <w:rsid w:val="00551B24"/>
    <w:rsid w:val="00557EFA"/>
    <w:rsid w:val="00590AF4"/>
    <w:rsid w:val="005B5AD0"/>
    <w:rsid w:val="005C491E"/>
    <w:rsid w:val="005D3C19"/>
    <w:rsid w:val="005F175E"/>
    <w:rsid w:val="0061636C"/>
    <w:rsid w:val="0064705C"/>
    <w:rsid w:val="006C4B91"/>
    <w:rsid w:val="006E07F1"/>
    <w:rsid w:val="006E5E9C"/>
    <w:rsid w:val="006F17AC"/>
    <w:rsid w:val="006F3177"/>
    <w:rsid w:val="00706639"/>
    <w:rsid w:val="00715C4E"/>
    <w:rsid w:val="0073606C"/>
    <w:rsid w:val="00751238"/>
    <w:rsid w:val="00774BB7"/>
    <w:rsid w:val="007D4382"/>
    <w:rsid w:val="00815050"/>
    <w:rsid w:val="00896680"/>
    <w:rsid w:val="008C72E4"/>
    <w:rsid w:val="008F6CD4"/>
    <w:rsid w:val="0090695B"/>
    <w:rsid w:val="00920D92"/>
    <w:rsid w:val="00985AE7"/>
    <w:rsid w:val="009F1EE5"/>
    <w:rsid w:val="00A10A87"/>
    <w:rsid w:val="00A125A4"/>
    <w:rsid w:val="00A354CE"/>
    <w:rsid w:val="00A979E6"/>
    <w:rsid w:val="00AB53F9"/>
    <w:rsid w:val="00B9273F"/>
    <w:rsid w:val="00B94075"/>
    <w:rsid w:val="00BA2373"/>
    <w:rsid w:val="00BC7571"/>
    <w:rsid w:val="00C2111A"/>
    <w:rsid w:val="00C217A8"/>
    <w:rsid w:val="00C305C2"/>
    <w:rsid w:val="00CF09F7"/>
    <w:rsid w:val="00D01932"/>
    <w:rsid w:val="00D12251"/>
    <w:rsid w:val="00D2206D"/>
    <w:rsid w:val="00D23714"/>
    <w:rsid w:val="00D95923"/>
    <w:rsid w:val="00DA5171"/>
    <w:rsid w:val="00DA6F99"/>
    <w:rsid w:val="00DD51A4"/>
    <w:rsid w:val="00E2435B"/>
    <w:rsid w:val="00E36113"/>
    <w:rsid w:val="00E87FEE"/>
    <w:rsid w:val="00EB7DEE"/>
    <w:rsid w:val="00EF2B4E"/>
    <w:rsid w:val="00F468D1"/>
    <w:rsid w:val="00F56F53"/>
    <w:rsid w:val="00FD1C35"/>
    <w:rsid w:val="00FD360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622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F175E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5F175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68</cp:revision>
  <dcterms:created xsi:type="dcterms:W3CDTF">2019-02-15T12:25:00Z</dcterms:created>
  <dcterms:modified xsi:type="dcterms:W3CDTF">2023-02-03T10:57:00Z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3c9bde3cdcd831e8c95378023730a4cb77c2956014822882a7d335659741da55</vt:lpwstr>
  </property>
</Properties>
</file>