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E2" w:rsidRPr="005C37EC" w:rsidRDefault="00F074E2" w:rsidP="00F074E2">
      <w:pPr>
        <w:autoSpaceDE w:val="0"/>
        <w:autoSpaceDN w:val="0"/>
        <w:adjustRightInd w:val="0"/>
        <w:jc w:val="both"/>
        <w:rPr>
          <w:rStyle w:val="Gl"/>
          <w:sz w:val="22"/>
          <w:szCs w:val="22"/>
          <w:u w:val="single"/>
          <w:shd w:val="clear" w:color="auto" w:fill="FFFFFF"/>
        </w:rPr>
      </w:pPr>
      <w:r>
        <w:rPr>
          <w:rStyle w:val="Gl"/>
          <w:sz w:val="22"/>
          <w:szCs w:val="22"/>
          <w:u w:val="single"/>
          <w:shd w:val="clear" w:color="auto" w:fill="FFFFFF"/>
        </w:rPr>
        <w:t>Gidilen</w:t>
      </w:r>
      <w:r w:rsidRPr="005C37EC">
        <w:rPr>
          <w:rStyle w:val="Gl"/>
          <w:sz w:val="22"/>
          <w:szCs w:val="22"/>
          <w:u w:val="single"/>
          <w:shd w:val="clear" w:color="auto" w:fill="FFFFFF"/>
        </w:rPr>
        <w:t xml:space="preserve"> Ülkelere Göre Günlük Hibe Miktarları:</w:t>
      </w:r>
    </w:p>
    <w:p w:rsidR="00F074E2" w:rsidRPr="005C37EC" w:rsidRDefault="00F074E2" w:rsidP="00F074E2">
      <w:pPr>
        <w:autoSpaceDE w:val="0"/>
        <w:autoSpaceDN w:val="0"/>
        <w:adjustRightInd w:val="0"/>
        <w:jc w:val="both"/>
        <w:rPr>
          <w:rStyle w:val="Gl"/>
          <w:color w:val="373737"/>
          <w:sz w:val="22"/>
          <w:szCs w:val="22"/>
          <w:shd w:val="clear" w:color="auto" w:fill="FFFFFF"/>
        </w:rPr>
      </w:pPr>
    </w:p>
    <w:p w:rsidR="00F074E2" w:rsidRPr="005C37EC" w:rsidRDefault="00F074E2" w:rsidP="00F074E2">
      <w:pPr>
        <w:autoSpaceDE w:val="0"/>
        <w:autoSpaceDN w:val="0"/>
        <w:adjustRightInd w:val="0"/>
        <w:jc w:val="both"/>
        <w:rPr>
          <w:bCs/>
          <w:sz w:val="22"/>
          <w:szCs w:val="22"/>
        </w:rPr>
      </w:pPr>
      <w:r w:rsidRPr="005C37EC">
        <w:rPr>
          <w:bCs/>
          <w:sz w:val="22"/>
          <w:szCs w:val="22"/>
        </w:rPr>
        <w:t>Personelin faaliyet süreleri ve hibeleri, faaliyet başlamadan önce tahminî olarak hesaplanır. Faaliyet sona erdikten sonra gerçekleşen kesin süreler ve hibeler tekrar hesaplanır.</w:t>
      </w:r>
    </w:p>
    <w:p w:rsidR="00F074E2" w:rsidRPr="005C37EC" w:rsidRDefault="00F074E2" w:rsidP="00F074E2">
      <w:pPr>
        <w:autoSpaceDE w:val="0"/>
        <w:autoSpaceDN w:val="0"/>
        <w:adjustRightInd w:val="0"/>
        <w:jc w:val="both"/>
        <w:rPr>
          <w:bCs/>
          <w:sz w:val="22"/>
          <w:szCs w:val="22"/>
        </w:rPr>
      </w:pPr>
    </w:p>
    <w:p w:rsidR="00F074E2" w:rsidRPr="005C37EC" w:rsidRDefault="00F074E2" w:rsidP="00F074E2">
      <w:pPr>
        <w:autoSpaceDE w:val="0"/>
        <w:autoSpaceDN w:val="0"/>
        <w:adjustRightInd w:val="0"/>
        <w:jc w:val="both"/>
        <w:rPr>
          <w:bCs/>
          <w:sz w:val="22"/>
          <w:szCs w:val="22"/>
        </w:rPr>
      </w:pPr>
      <w:r w:rsidRPr="005C37EC">
        <w:rPr>
          <w:bCs/>
          <w:sz w:val="22"/>
          <w:szCs w:val="22"/>
        </w:rPr>
        <w:t>Personel ders verme faaliyeti gün tabanlı bir faaliyettir ve sadece faaliyetin kapsamına uygun faaliyet gerçekleştirilen günler (ve üniversitenin kararına bağlı olarak, seyahat günleri için) için hibe ödemesi yapılır.</w:t>
      </w:r>
    </w:p>
    <w:p w:rsidR="00F074E2" w:rsidRPr="005C37EC" w:rsidRDefault="00F074E2" w:rsidP="00F074E2">
      <w:pPr>
        <w:autoSpaceDE w:val="0"/>
        <w:autoSpaceDN w:val="0"/>
        <w:adjustRightInd w:val="0"/>
        <w:jc w:val="both"/>
        <w:rPr>
          <w:bCs/>
          <w:sz w:val="22"/>
          <w:szCs w:val="22"/>
        </w:rPr>
      </w:pPr>
    </w:p>
    <w:p w:rsidR="00F074E2" w:rsidRPr="005C37EC" w:rsidRDefault="00F074E2" w:rsidP="00F074E2">
      <w:pPr>
        <w:autoSpaceDE w:val="0"/>
        <w:autoSpaceDN w:val="0"/>
        <w:adjustRightInd w:val="0"/>
        <w:jc w:val="both"/>
        <w:rPr>
          <w:bCs/>
          <w:sz w:val="22"/>
          <w:szCs w:val="22"/>
        </w:rPr>
      </w:pPr>
      <w:r w:rsidRPr="005C37EC">
        <w:rPr>
          <w:bCs/>
          <w:sz w:val="22"/>
          <w:szCs w:val="22"/>
        </w:rPr>
        <w:t xml:space="preserve">Personelin faaliyet süreleri tamamen </w:t>
      </w:r>
      <w:proofErr w:type="spellStart"/>
      <w:r w:rsidRPr="005C37EC">
        <w:rPr>
          <w:bCs/>
          <w:sz w:val="22"/>
          <w:szCs w:val="22"/>
        </w:rPr>
        <w:t>hibelendirilir</w:t>
      </w:r>
      <w:proofErr w:type="spellEnd"/>
      <w:r w:rsidRPr="005C37EC">
        <w:rPr>
          <w:bCs/>
          <w:sz w:val="22"/>
          <w:szCs w:val="22"/>
        </w:rPr>
        <w:t xml:space="preserve"> veya faaliyet tamamen </w:t>
      </w:r>
      <w:proofErr w:type="spellStart"/>
      <w:r w:rsidRPr="005C37EC">
        <w:rPr>
          <w:bCs/>
          <w:sz w:val="22"/>
          <w:szCs w:val="22"/>
        </w:rPr>
        <w:t>hibesiz</w:t>
      </w:r>
      <w:proofErr w:type="spellEnd"/>
      <w:r w:rsidRPr="005C37EC">
        <w:rPr>
          <w:bCs/>
          <w:sz w:val="22"/>
          <w:szCs w:val="22"/>
        </w:rPr>
        <w:t xml:space="preserve"> yani </w:t>
      </w:r>
      <w:r w:rsidRPr="005C37EC">
        <w:rPr>
          <w:b/>
          <w:sz w:val="22"/>
          <w:szCs w:val="22"/>
        </w:rPr>
        <w:t>“sıfır hibeli”</w:t>
      </w:r>
      <w:r w:rsidRPr="005C37EC">
        <w:rPr>
          <w:bCs/>
          <w:sz w:val="22"/>
          <w:szCs w:val="22"/>
        </w:rPr>
        <w:t xml:space="preserve"> olarak gerçekleştirilebilir. Faaliyet süresinin kısmen </w:t>
      </w:r>
      <w:proofErr w:type="spellStart"/>
      <w:r w:rsidRPr="005C37EC">
        <w:rPr>
          <w:bCs/>
          <w:sz w:val="22"/>
          <w:szCs w:val="22"/>
        </w:rPr>
        <w:t>hibelendirilmesi</w:t>
      </w:r>
      <w:proofErr w:type="spellEnd"/>
      <w:r w:rsidRPr="005C37EC">
        <w:rPr>
          <w:bCs/>
          <w:sz w:val="22"/>
          <w:szCs w:val="22"/>
        </w:rPr>
        <w:t xml:space="preserve"> seçeneği bulunmamaktadır.</w:t>
      </w:r>
    </w:p>
    <w:p w:rsidR="00F074E2" w:rsidRPr="005C37EC" w:rsidRDefault="00F074E2" w:rsidP="00F074E2">
      <w:pPr>
        <w:autoSpaceDE w:val="0"/>
        <w:autoSpaceDN w:val="0"/>
        <w:adjustRightInd w:val="0"/>
        <w:jc w:val="both"/>
        <w:rPr>
          <w:rStyle w:val="Gl"/>
          <w:color w:val="373737"/>
          <w:sz w:val="22"/>
          <w:szCs w:val="22"/>
          <w:shd w:val="clear" w:color="auto" w:fill="FFFFFF"/>
        </w:rPr>
      </w:pPr>
    </w:p>
    <w:p w:rsidR="00F074E2" w:rsidRPr="005C37EC" w:rsidRDefault="00F074E2" w:rsidP="00F074E2">
      <w:pPr>
        <w:pStyle w:val="NormalWeb"/>
        <w:shd w:val="clear" w:color="auto" w:fill="FFFFFF"/>
        <w:spacing w:before="0" w:beforeAutospacing="0" w:after="0" w:afterAutospacing="0"/>
        <w:rPr>
          <w:sz w:val="22"/>
          <w:szCs w:val="22"/>
        </w:rPr>
      </w:pPr>
      <w:r w:rsidRPr="005C37EC">
        <w:rPr>
          <w:rStyle w:val="Gl"/>
          <w:sz w:val="22"/>
          <w:szCs w:val="22"/>
        </w:rPr>
        <w:t>Gönderen Ülke         Kabul Eden Ülke      Günlük hibe miktarları        Seyahat hibesi</w:t>
      </w:r>
    </w:p>
    <w:p w:rsidR="00F074E2" w:rsidRPr="005C37EC" w:rsidRDefault="00F074E2" w:rsidP="00F074E2">
      <w:pPr>
        <w:pStyle w:val="NormalWeb"/>
        <w:shd w:val="clear" w:color="auto" w:fill="FFFFFF"/>
        <w:spacing w:before="0" w:beforeAutospacing="0" w:after="480" w:afterAutospacing="0"/>
        <w:rPr>
          <w:rStyle w:val="Gl"/>
          <w:b w:val="0"/>
          <w:bCs w:val="0"/>
          <w:sz w:val="22"/>
          <w:szCs w:val="22"/>
        </w:rPr>
      </w:pPr>
      <w:r w:rsidRPr="005C37EC">
        <w:rPr>
          <w:sz w:val="22"/>
          <w:szCs w:val="22"/>
        </w:rPr>
        <w:t>Türkiye                       Kolombiya                   180 Avro                                1500 Avr</w:t>
      </w:r>
      <w:r>
        <w:rPr>
          <w:sz w:val="22"/>
          <w:szCs w:val="22"/>
        </w:rPr>
        <w:t>o</w:t>
      </w:r>
    </w:p>
    <w:p w:rsidR="00F074E2" w:rsidRPr="005C37EC" w:rsidRDefault="00F074E2" w:rsidP="00F074E2">
      <w:pPr>
        <w:tabs>
          <w:tab w:val="center" w:pos="4536"/>
          <w:tab w:val="right" w:pos="9072"/>
        </w:tabs>
        <w:jc w:val="both"/>
        <w:rPr>
          <w:rStyle w:val="Gl"/>
          <w:sz w:val="22"/>
          <w:szCs w:val="22"/>
          <w:shd w:val="clear" w:color="auto" w:fill="FFFFFF"/>
        </w:rPr>
      </w:pPr>
      <w:r w:rsidRPr="005C37EC">
        <w:rPr>
          <w:rStyle w:val="Gl"/>
          <w:sz w:val="22"/>
          <w:szCs w:val="22"/>
          <w:shd w:val="clear" w:color="auto" w:fill="FFFFFF"/>
        </w:rPr>
        <w:t>Seyahat İçin Ödenecek Hibe Tutarları:</w:t>
      </w:r>
    </w:p>
    <w:p w:rsidR="00F074E2" w:rsidRPr="005C37EC" w:rsidRDefault="00F074E2" w:rsidP="00F074E2">
      <w:pPr>
        <w:tabs>
          <w:tab w:val="center" w:pos="4536"/>
          <w:tab w:val="right" w:pos="9072"/>
        </w:tabs>
        <w:jc w:val="both"/>
        <w:rPr>
          <w:rStyle w:val="Gl"/>
          <w:sz w:val="22"/>
          <w:szCs w:val="22"/>
          <w:shd w:val="clear" w:color="auto" w:fill="FFFFFF"/>
        </w:rPr>
      </w:pPr>
    </w:p>
    <w:p w:rsidR="00F074E2" w:rsidRPr="005C37EC" w:rsidRDefault="00F074E2" w:rsidP="00F074E2">
      <w:pPr>
        <w:pStyle w:val="NormalWeb"/>
        <w:shd w:val="clear" w:color="auto" w:fill="FFFFFF"/>
        <w:spacing w:before="0" w:beforeAutospacing="0" w:after="480" w:afterAutospacing="0"/>
        <w:jc w:val="both"/>
        <w:rPr>
          <w:sz w:val="22"/>
          <w:szCs w:val="22"/>
        </w:rPr>
      </w:pPr>
      <w:r w:rsidRPr="005C37EC">
        <w:rPr>
          <w:sz w:val="22"/>
          <w:szCs w:val="22"/>
        </w:rPr>
        <w:t>Personel hareketliliği faaliyetinden faydalanan personeline ödenecek seyahat gideri miktarı “Mesafe Hesaplayıcı” kullanılarak hesap edilmelidir. Mesafe hesaplayıcısına aşağıdaki bağlantıdan ulaşılabilmektedir:</w:t>
      </w:r>
    </w:p>
    <w:p w:rsidR="00F074E2" w:rsidRPr="005C37EC" w:rsidRDefault="00F074E2" w:rsidP="00F074E2">
      <w:pPr>
        <w:pStyle w:val="NormalWeb"/>
        <w:shd w:val="clear" w:color="auto" w:fill="FFFFFF"/>
        <w:spacing w:before="0" w:beforeAutospacing="0" w:after="0" w:afterAutospacing="0"/>
        <w:jc w:val="both"/>
        <w:rPr>
          <w:color w:val="0000FF"/>
          <w:sz w:val="22"/>
          <w:szCs w:val="22"/>
        </w:rPr>
      </w:pPr>
      <w:hyperlink r:id="rId4" w:history="1">
        <w:r w:rsidRPr="005C37EC">
          <w:rPr>
            <w:rStyle w:val="Kpr"/>
            <w:sz w:val="22"/>
            <w:szCs w:val="22"/>
          </w:rPr>
          <w:t>http://ec.europa.eu/programmes/erasmus-plus/tools/distance_en.htm</w:t>
        </w:r>
      </w:hyperlink>
    </w:p>
    <w:p w:rsidR="00F074E2" w:rsidRPr="005C37EC" w:rsidRDefault="00F074E2" w:rsidP="00F074E2">
      <w:pPr>
        <w:pStyle w:val="NormalWeb"/>
        <w:shd w:val="clear" w:color="auto" w:fill="FFFFFF"/>
        <w:spacing w:before="0" w:beforeAutospacing="0" w:after="0" w:afterAutospacing="0"/>
        <w:jc w:val="both"/>
        <w:rPr>
          <w:sz w:val="22"/>
          <w:szCs w:val="22"/>
        </w:rPr>
      </w:pPr>
    </w:p>
    <w:p w:rsidR="00F074E2" w:rsidRPr="005C37EC" w:rsidRDefault="00F074E2" w:rsidP="00F074E2">
      <w:pPr>
        <w:pStyle w:val="NormalWeb"/>
        <w:shd w:val="clear" w:color="auto" w:fill="FFFFFF"/>
        <w:spacing w:before="0" w:beforeAutospacing="0" w:after="480" w:afterAutospacing="0"/>
        <w:jc w:val="both"/>
        <w:rPr>
          <w:sz w:val="22"/>
          <w:szCs w:val="22"/>
        </w:rPr>
      </w:pPr>
      <w:r w:rsidRPr="005C37EC">
        <w:rPr>
          <w:sz w:val="22"/>
          <w:szCs w:val="22"/>
        </w:rPr>
        <w:t>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belirtilen mesafe hesaplaması ile varılan mesafeyi etkilemez.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F074E2" w:rsidRPr="005C37EC" w:rsidTr="00A02CD9">
        <w:tc>
          <w:tcPr>
            <w:tcW w:w="4960" w:type="dxa"/>
            <w:shd w:val="clear" w:color="auto" w:fill="auto"/>
          </w:tcPr>
          <w:p w:rsidR="00F074E2" w:rsidRPr="005C37EC" w:rsidRDefault="00F074E2" w:rsidP="00A02CD9">
            <w:pPr>
              <w:rPr>
                <w:b/>
                <w:sz w:val="22"/>
                <w:szCs w:val="22"/>
              </w:rPr>
            </w:pPr>
            <w:r w:rsidRPr="005C37EC">
              <w:rPr>
                <w:b/>
                <w:sz w:val="22"/>
                <w:szCs w:val="22"/>
              </w:rPr>
              <w:t>Elde edilen “km” değeri</w:t>
            </w:r>
          </w:p>
        </w:tc>
        <w:tc>
          <w:tcPr>
            <w:tcW w:w="4961" w:type="dxa"/>
            <w:shd w:val="clear" w:color="auto" w:fill="auto"/>
          </w:tcPr>
          <w:p w:rsidR="00F074E2" w:rsidRPr="005C37EC" w:rsidRDefault="00F074E2" w:rsidP="00A02CD9">
            <w:pPr>
              <w:rPr>
                <w:b/>
                <w:sz w:val="22"/>
                <w:szCs w:val="22"/>
              </w:rPr>
            </w:pPr>
            <w:r w:rsidRPr="005C37EC">
              <w:rPr>
                <w:b/>
                <w:sz w:val="22"/>
                <w:szCs w:val="22"/>
              </w:rPr>
              <w:t>Hibe miktarı (Avro)</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10-99 KM arası</w:t>
            </w:r>
          </w:p>
        </w:tc>
        <w:tc>
          <w:tcPr>
            <w:tcW w:w="4961" w:type="dxa"/>
            <w:shd w:val="clear" w:color="auto" w:fill="auto"/>
          </w:tcPr>
          <w:p w:rsidR="00F074E2" w:rsidRPr="005C37EC" w:rsidRDefault="00F074E2" w:rsidP="00A02CD9">
            <w:pPr>
              <w:rPr>
                <w:sz w:val="22"/>
                <w:szCs w:val="22"/>
              </w:rPr>
            </w:pPr>
            <w:r w:rsidRPr="005C37EC">
              <w:rPr>
                <w:sz w:val="22"/>
                <w:szCs w:val="22"/>
              </w:rPr>
              <w:t>20 €</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100 - 499 KM arası</w:t>
            </w:r>
          </w:p>
        </w:tc>
        <w:tc>
          <w:tcPr>
            <w:tcW w:w="4961" w:type="dxa"/>
            <w:shd w:val="clear" w:color="auto" w:fill="auto"/>
          </w:tcPr>
          <w:p w:rsidR="00F074E2" w:rsidRPr="005C37EC" w:rsidRDefault="00F074E2" w:rsidP="00A02CD9">
            <w:pPr>
              <w:rPr>
                <w:sz w:val="22"/>
                <w:szCs w:val="22"/>
              </w:rPr>
            </w:pPr>
            <w:r w:rsidRPr="005C37EC">
              <w:rPr>
                <w:sz w:val="22"/>
                <w:szCs w:val="22"/>
              </w:rPr>
              <w:t>180</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500 - 1999 KM arası</w:t>
            </w:r>
          </w:p>
        </w:tc>
        <w:tc>
          <w:tcPr>
            <w:tcW w:w="4961" w:type="dxa"/>
            <w:shd w:val="clear" w:color="auto" w:fill="auto"/>
          </w:tcPr>
          <w:p w:rsidR="00F074E2" w:rsidRPr="005C37EC" w:rsidRDefault="00F074E2" w:rsidP="00A02CD9">
            <w:pPr>
              <w:rPr>
                <w:sz w:val="22"/>
                <w:szCs w:val="22"/>
              </w:rPr>
            </w:pPr>
            <w:r w:rsidRPr="005C37EC">
              <w:rPr>
                <w:sz w:val="22"/>
                <w:szCs w:val="22"/>
              </w:rPr>
              <w:t>275</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2000 - 2999 KM arası</w:t>
            </w:r>
          </w:p>
        </w:tc>
        <w:tc>
          <w:tcPr>
            <w:tcW w:w="4961" w:type="dxa"/>
            <w:shd w:val="clear" w:color="auto" w:fill="auto"/>
          </w:tcPr>
          <w:p w:rsidR="00F074E2" w:rsidRPr="005C37EC" w:rsidRDefault="00F074E2" w:rsidP="00A02CD9">
            <w:pPr>
              <w:rPr>
                <w:sz w:val="22"/>
                <w:szCs w:val="22"/>
              </w:rPr>
            </w:pPr>
            <w:r w:rsidRPr="005C37EC">
              <w:rPr>
                <w:sz w:val="22"/>
                <w:szCs w:val="22"/>
              </w:rPr>
              <w:t>360</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3000 - 3999 KM arası</w:t>
            </w:r>
          </w:p>
        </w:tc>
        <w:tc>
          <w:tcPr>
            <w:tcW w:w="4961" w:type="dxa"/>
            <w:shd w:val="clear" w:color="auto" w:fill="auto"/>
          </w:tcPr>
          <w:p w:rsidR="00F074E2" w:rsidRPr="005C37EC" w:rsidRDefault="00F074E2" w:rsidP="00A02CD9">
            <w:pPr>
              <w:rPr>
                <w:sz w:val="22"/>
                <w:szCs w:val="22"/>
              </w:rPr>
            </w:pPr>
            <w:r w:rsidRPr="005C37EC">
              <w:rPr>
                <w:sz w:val="22"/>
                <w:szCs w:val="22"/>
              </w:rPr>
              <w:t>530</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4000 - 7999 KM arası</w:t>
            </w:r>
          </w:p>
        </w:tc>
        <w:tc>
          <w:tcPr>
            <w:tcW w:w="4961" w:type="dxa"/>
            <w:shd w:val="clear" w:color="auto" w:fill="auto"/>
          </w:tcPr>
          <w:p w:rsidR="00F074E2" w:rsidRPr="005C37EC" w:rsidRDefault="00F074E2" w:rsidP="00A02CD9">
            <w:pPr>
              <w:rPr>
                <w:sz w:val="22"/>
                <w:szCs w:val="22"/>
              </w:rPr>
            </w:pPr>
            <w:r w:rsidRPr="005C37EC">
              <w:rPr>
                <w:sz w:val="22"/>
                <w:szCs w:val="22"/>
              </w:rPr>
              <w:t>820</w:t>
            </w:r>
          </w:p>
        </w:tc>
      </w:tr>
      <w:tr w:rsidR="00F074E2" w:rsidRPr="005C37EC" w:rsidTr="00A02CD9">
        <w:tc>
          <w:tcPr>
            <w:tcW w:w="4960" w:type="dxa"/>
            <w:shd w:val="clear" w:color="auto" w:fill="auto"/>
          </w:tcPr>
          <w:p w:rsidR="00F074E2" w:rsidRPr="005C37EC" w:rsidRDefault="00F074E2" w:rsidP="00A02CD9">
            <w:pPr>
              <w:rPr>
                <w:sz w:val="22"/>
                <w:szCs w:val="22"/>
              </w:rPr>
            </w:pPr>
            <w:r w:rsidRPr="005C37EC">
              <w:rPr>
                <w:sz w:val="22"/>
                <w:szCs w:val="22"/>
              </w:rPr>
              <w:t>8000 KM ve üzeri</w:t>
            </w:r>
          </w:p>
        </w:tc>
        <w:tc>
          <w:tcPr>
            <w:tcW w:w="4961" w:type="dxa"/>
            <w:shd w:val="clear" w:color="auto" w:fill="auto"/>
          </w:tcPr>
          <w:p w:rsidR="00F074E2" w:rsidRPr="005C37EC" w:rsidRDefault="00F074E2" w:rsidP="00A02CD9">
            <w:pPr>
              <w:rPr>
                <w:sz w:val="22"/>
                <w:szCs w:val="22"/>
              </w:rPr>
            </w:pPr>
            <w:r w:rsidRPr="005C37EC">
              <w:rPr>
                <w:sz w:val="22"/>
                <w:szCs w:val="22"/>
              </w:rPr>
              <w:t>1500</w:t>
            </w:r>
          </w:p>
        </w:tc>
      </w:tr>
    </w:tbl>
    <w:p w:rsidR="003C134F" w:rsidRDefault="003C134F">
      <w:bookmarkStart w:id="0" w:name="_GoBack"/>
      <w:bookmarkEnd w:id="0"/>
    </w:p>
    <w:sectPr w:rsidR="003C1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DB"/>
    <w:rsid w:val="003C134F"/>
    <w:rsid w:val="00512DDB"/>
    <w:rsid w:val="00F07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CD83-6CE7-4472-863B-BC4C66BB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F074E2"/>
    <w:rPr>
      <w:color w:val="0000FF"/>
      <w:u w:val="single"/>
    </w:rPr>
  </w:style>
  <w:style w:type="character" w:styleId="Gl">
    <w:name w:val="Strong"/>
    <w:uiPriority w:val="22"/>
    <w:qFormat/>
    <w:rsid w:val="00F074E2"/>
    <w:rPr>
      <w:b/>
      <w:bCs/>
    </w:rPr>
  </w:style>
  <w:style w:type="paragraph" w:styleId="NormalWeb">
    <w:name w:val="Normal (Web)"/>
    <w:basedOn w:val="Normal"/>
    <w:uiPriority w:val="99"/>
    <w:unhideWhenUsed/>
    <w:rsid w:val="00F07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2021-08-27T09:35:00Z</dcterms:created>
  <dcterms:modified xsi:type="dcterms:W3CDTF">2021-08-27T09:35:00Z</dcterms:modified>
</cp:coreProperties>
</file>