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BB24A9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475E568A" w14:textId="77777777" w:rsidR="00BB24A9" w:rsidRDefault="00BB24A9" w:rsidP="008B6131">
            <w:pPr>
              <w:jc w:val="center"/>
            </w:pPr>
            <w:r>
              <w:t>İSKENDERUN TEKNİK ÜNİVERSİTESİ</w:t>
            </w:r>
          </w:p>
          <w:p w14:paraId="092ACC7F" w14:textId="77777777" w:rsidR="00BB24A9" w:rsidRPr="00837053" w:rsidRDefault="00BB24A9" w:rsidP="008B6131">
            <w:pPr>
              <w:jc w:val="center"/>
              <w:rPr>
                <w:sz w:val="20"/>
              </w:rPr>
            </w:pPr>
            <w:r>
              <w:t>DÖRTYOL MESLEK YÜKSEKOKULU</w:t>
            </w:r>
          </w:p>
        </w:tc>
      </w:tr>
      <w:tr w:rsidR="00BB24A9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31244F76" w:rsidR="00BB24A9" w:rsidRPr="00837053" w:rsidRDefault="00CB430B" w:rsidP="00CB430B">
            <w:pPr>
              <w:jc w:val="center"/>
            </w:pPr>
            <w:r>
              <w:t xml:space="preserve">İDARİ PERSONEL </w:t>
            </w:r>
            <w:r w:rsidR="00BB24A9" w:rsidRPr="00837053">
              <w:t xml:space="preserve">GÖREV </w:t>
            </w:r>
            <w:r w:rsidR="00BB24A9">
              <w:t>TANIMI</w:t>
            </w:r>
          </w:p>
        </w:tc>
      </w:tr>
      <w:tr w:rsidR="00BB24A9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1CFACC26" w:rsidR="00AB44A6" w:rsidRDefault="00C67A42">
            <w:pPr>
              <w:pStyle w:val="TableParagraph"/>
              <w:spacing w:line="234" w:lineRule="exact"/>
              <w:ind w:left="105"/>
            </w:pPr>
            <w:r>
              <w:t>Yüksekokul Sekreteri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6CB85929" w:rsidR="00DF0600" w:rsidRDefault="00637B4A">
            <w:pPr>
              <w:pStyle w:val="TableParagraph"/>
              <w:spacing w:line="231" w:lineRule="exact"/>
              <w:ind w:left="105"/>
            </w:pPr>
            <w:r>
              <w:t>Genel İdari Hizmetler</w:t>
            </w:r>
          </w:p>
        </w:tc>
      </w:tr>
      <w:tr w:rsidR="00C67A42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C67A42" w:rsidRDefault="00C67A42" w:rsidP="00C67A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1F4B5F83" w:rsidR="00C67A42" w:rsidRDefault="00C67A42" w:rsidP="00C67A42">
            <w:pPr>
              <w:pStyle w:val="TableParagraph"/>
              <w:spacing w:line="234" w:lineRule="exact"/>
              <w:ind w:left="105"/>
            </w:pPr>
            <w:r>
              <w:t>Yüksekokul Sekreteri</w:t>
            </w:r>
          </w:p>
        </w:tc>
      </w:tr>
      <w:tr w:rsidR="00C67A42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C67A42" w:rsidRPr="00AB44A6" w:rsidRDefault="00C67A42" w:rsidP="00C67A42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30376FFD" w:rsidR="00C67A42" w:rsidRDefault="00C67A42" w:rsidP="00C67A42">
            <w:pPr>
              <w:pStyle w:val="TableParagraph"/>
              <w:spacing w:line="231" w:lineRule="exact"/>
              <w:ind w:left="105"/>
            </w:pPr>
            <w:r>
              <w:t>Tüm idari personel</w:t>
            </w:r>
          </w:p>
        </w:tc>
      </w:tr>
      <w:tr w:rsidR="00C67A42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C67A42" w:rsidRPr="00AB44A6" w:rsidRDefault="00C67A42" w:rsidP="00C67A42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C67A42" w:rsidRDefault="00C67A42" w:rsidP="00C67A42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74C10D7C" w14:textId="538310C9" w:rsidR="0010401C" w:rsidRPr="00C67A42" w:rsidRDefault="0010401C" w:rsidP="0010401C">
            <w:pPr>
              <w:tabs>
                <w:tab w:val="left" w:pos="858"/>
              </w:tabs>
              <w:rPr>
                <w:sz w:val="24"/>
                <w:szCs w:val="24"/>
              </w:rPr>
            </w:pPr>
            <w:r w:rsidRPr="00C67A42">
              <w:rPr>
                <w:sz w:val="24"/>
                <w:szCs w:val="24"/>
              </w:rPr>
              <w:t>1-2547 Sayılı Yükseköğretim Kanununun 51/b, 51/c maddelerinin gereğini yapar</w:t>
            </w:r>
          </w:p>
          <w:p w14:paraId="239FB93A" w14:textId="1FCD0C09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2- </w:t>
            </w:r>
            <w:r w:rsidRPr="0010401C">
              <w:rPr>
                <w:sz w:val="24"/>
              </w:rPr>
              <w:t>Meslek Yüksekokulu İdari teşkilatının başı olarak(124 Sayılı KHK 38 Md.)Meslek Yüksekokulundaki idari birimlerin verimli, düzenli ve uyumlu bir şekilde çalışmasını sağlamak,</w:t>
            </w:r>
          </w:p>
          <w:p w14:paraId="4191B86B" w14:textId="4F23FB2C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3- </w:t>
            </w:r>
            <w:r w:rsidRPr="0010401C">
              <w:rPr>
                <w:sz w:val="24"/>
              </w:rPr>
              <w:t>Meslek Yüksekokulunun Üniversite içi ve dışı tüm idari işlerini yürütür, istenildiğinde üst makamlara gerekli bilgileri sağlar.</w:t>
            </w:r>
          </w:p>
          <w:p w14:paraId="0E5CAC41" w14:textId="47D19725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4-</w:t>
            </w:r>
            <w:r w:rsidRPr="0010401C">
              <w:rPr>
                <w:sz w:val="24"/>
              </w:rPr>
              <w:t>Meslek Yüksekokulu idari teşkilatında görevlendirilecek personel hakkında Yüksekokul Müdürüne öneride bulunur.</w:t>
            </w:r>
          </w:p>
          <w:p w14:paraId="1448E2C0" w14:textId="22DD7456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5-</w:t>
            </w:r>
            <w:r w:rsidRPr="0010401C">
              <w:rPr>
                <w:sz w:val="24"/>
              </w:rPr>
              <w:t>Yüksekokul Kurulu, Yüksekokul Yönetim Kurulu, Yüksekokul Disiplin Kurulu ve genel toplantıların gündemini hazırlar ve ilgililere duyurur. Raportörlüğünü yapar. Karar ve tutanaklarını hazırlar, uygulamasını sağlar.</w:t>
            </w:r>
          </w:p>
          <w:p w14:paraId="4B2FAEE0" w14:textId="4E711FE4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6-</w:t>
            </w:r>
            <w:r w:rsidRPr="0010401C">
              <w:rPr>
                <w:sz w:val="24"/>
              </w:rPr>
              <w:t>Meslek Yüksekokulu bina ve tesislerin kullanılabilir durumda tutulmasını sağlar</w:t>
            </w:r>
            <w:r w:rsidR="00C67A42">
              <w:rPr>
                <w:sz w:val="24"/>
              </w:rPr>
              <w:t xml:space="preserve"> </w:t>
            </w:r>
            <w:r w:rsidRPr="0010401C">
              <w:rPr>
                <w:sz w:val="24"/>
              </w:rPr>
              <w:t>gerekli bakım ve onarım işlerini takip eder; ısınma aydınlatma, temizlik vb</w:t>
            </w:r>
            <w:r w:rsidR="00C67A42">
              <w:rPr>
                <w:sz w:val="24"/>
              </w:rPr>
              <w:t>.</w:t>
            </w:r>
            <w:r w:rsidRPr="0010401C">
              <w:rPr>
                <w:sz w:val="24"/>
              </w:rPr>
              <w:t xml:space="preserve"> hizmetlerin yürütülmesini sağlar.</w:t>
            </w:r>
          </w:p>
          <w:p w14:paraId="7F549A04" w14:textId="06BAE3C0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7-</w:t>
            </w:r>
            <w:r w:rsidRPr="0010401C">
              <w:rPr>
                <w:sz w:val="24"/>
              </w:rPr>
              <w:t xml:space="preserve">Eğitim ve öğretim faaliyetleri ile yönetim görevlerinde kullanılan makine ve teçhizatın, hizmet araçlarının </w:t>
            </w:r>
            <w:r w:rsidR="00C67A42" w:rsidRPr="0010401C">
              <w:rPr>
                <w:sz w:val="24"/>
              </w:rPr>
              <w:t>periyodik</w:t>
            </w:r>
            <w:r w:rsidRPr="0010401C">
              <w:rPr>
                <w:sz w:val="24"/>
              </w:rPr>
              <w:t xml:space="preserve"> bakım ve onarımını yaptırır,</w:t>
            </w:r>
          </w:p>
          <w:p w14:paraId="6BA59911" w14:textId="2A13BBB4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8-</w:t>
            </w:r>
            <w:r w:rsidRPr="0010401C">
              <w:rPr>
                <w:sz w:val="24"/>
              </w:rPr>
              <w:t>Meslek Yüksekokulunun Gerçekleştirme Görevlisi olarak tahakkuk ve ödeme evraklarını hazırlar,</w:t>
            </w:r>
          </w:p>
          <w:p w14:paraId="4AEE06B4" w14:textId="3EF6880E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10-</w:t>
            </w:r>
            <w:r w:rsidRPr="0010401C">
              <w:rPr>
                <w:sz w:val="24"/>
              </w:rPr>
              <w:t>Meslek Yüksekokuluna alınacak akademik personelin sınav işlerinin takibi ve</w:t>
            </w:r>
            <w:r>
              <w:rPr>
                <w:sz w:val="24"/>
              </w:rPr>
              <w:t xml:space="preserve"> </w:t>
            </w:r>
            <w:r w:rsidRPr="0010401C">
              <w:rPr>
                <w:sz w:val="24"/>
              </w:rPr>
              <w:t>sonuçların Rektörlüğe iletilmesini sağlar,</w:t>
            </w:r>
          </w:p>
          <w:p w14:paraId="28840607" w14:textId="7CE2AA97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11-</w:t>
            </w:r>
            <w:r w:rsidRPr="0010401C">
              <w:rPr>
                <w:sz w:val="24"/>
              </w:rPr>
              <w:t>Akademik personelin görev uzatılması için gerekli uyarıları yapar ve zamanında yerine getirilmesini sağlar. Öğrenci ve personellerden gelen dilekçeleri ilgili yerlere yönlendirir ve gerekeni yapar.</w:t>
            </w:r>
          </w:p>
          <w:p w14:paraId="6BE7FDD4" w14:textId="4877A021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12-</w:t>
            </w:r>
            <w:r w:rsidRPr="0010401C">
              <w:rPr>
                <w:sz w:val="24"/>
              </w:rPr>
              <w:t xml:space="preserve">İlgili kişilerle birlikte Kamu İç kontrol standartları ve kalite dokümanlarını hazırlar. Yukarıda belirtilen görev ve sorumlulukları gerçekleştirme yetkisine sahip olmak. Faaliyetlerin gerçekleştirilmesi için gerekli araç ve </w:t>
            </w:r>
            <w:proofErr w:type="spellStart"/>
            <w:r w:rsidRPr="0010401C">
              <w:rPr>
                <w:sz w:val="24"/>
              </w:rPr>
              <w:t>ve</w:t>
            </w:r>
            <w:proofErr w:type="spellEnd"/>
            <w:r w:rsidRPr="0010401C">
              <w:rPr>
                <w:sz w:val="24"/>
              </w:rPr>
              <w:t xml:space="preserve"> gereci kullanma yetkisine sahiptir. İlgili olur ve onaylarda imza yetkisine sahiptir.</w:t>
            </w:r>
          </w:p>
          <w:p w14:paraId="3E018C33" w14:textId="3C0B41E4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13-</w:t>
            </w:r>
            <w:r w:rsidRPr="0010401C">
              <w:rPr>
                <w:sz w:val="24"/>
              </w:rPr>
              <w:t>Emrindeki personele iş verme, yönlendirme, yaptıkları işleri kontrol etme, düzeltme, gerektiğinde uyarma bilgi ve rapor isteme yetkisine sahip olmak.</w:t>
            </w:r>
          </w:p>
          <w:p w14:paraId="5C6C66CE" w14:textId="7534C39A" w:rsidR="0010401C" w:rsidRPr="0010401C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14-</w:t>
            </w:r>
            <w:r w:rsidRPr="0010401C">
              <w:rPr>
                <w:sz w:val="24"/>
              </w:rPr>
              <w:t xml:space="preserve">Meslek Yüksekokulu İdari Örgütünün başı olan Yüksekokul Sekreteri, Yüksekokuldaki idari işlerden dolayı Meslek Yüksekokulu Müdürüne karşı sorumludur. </w:t>
            </w:r>
          </w:p>
          <w:p w14:paraId="77872D37" w14:textId="18F7A0DD" w:rsidR="00924DD0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15-</w:t>
            </w:r>
            <w:r w:rsidRPr="0010401C">
              <w:rPr>
                <w:sz w:val="24"/>
              </w:rPr>
              <w:t xml:space="preserve">Meslek Yüksekokulu Müdürünün verdiği </w:t>
            </w:r>
            <w:r w:rsidR="009D76FA" w:rsidRPr="0010401C">
              <w:rPr>
                <w:sz w:val="24"/>
              </w:rPr>
              <w:t>diğer</w:t>
            </w:r>
            <w:r w:rsidRPr="0010401C">
              <w:rPr>
                <w:sz w:val="24"/>
              </w:rPr>
              <w:t xml:space="preserve"> görevleri kanun ve yönetmelikler kapsamında yerine getirir.</w:t>
            </w:r>
          </w:p>
          <w:p w14:paraId="1874EE31" w14:textId="42FB54F1" w:rsidR="00587986" w:rsidRPr="00B05037" w:rsidRDefault="0010401C" w:rsidP="0010401C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587986" w:rsidRPr="00587986">
              <w:rPr>
                <w:sz w:val="24"/>
              </w:rPr>
              <w:t>-Yukarıda belirtilen görevl</w:t>
            </w:r>
            <w:r w:rsidR="00587986">
              <w:rPr>
                <w:sz w:val="24"/>
              </w:rPr>
              <w:t>e</w:t>
            </w:r>
            <w:r w:rsidR="00587986" w:rsidRPr="00587986">
              <w:rPr>
                <w:sz w:val="24"/>
              </w:rPr>
              <w:t>rin yerine getirilmesinde Meslek Yüksekokulu Müdürüne karşı sorumludur.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83"/>
        <w:gridCol w:w="3379"/>
      </w:tblGrid>
      <w:tr w:rsidR="00830837" w:rsidRPr="00830837" w14:paraId="1178F10F" w14:textId="77777777" w:rsidTr="001B4517">
        <w:trPr>
          <w:trHeight w:val="459"/>
        </w:trPr>
        <w:tc>
          <w:tcPr>
            <w:tcW w:w="3544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283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1B0CE86B" w:rsidR="00830837" w:rsidRPr="00830837" w:rsidRDefault="00F219F9" w:rsidP="00F219F9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="00830837" w:rsidRPr="00830837">
              <w:rPr>
                <w:b/>
                <w:sz w:val="20"/>
              </w:rPr>
              <w:t>/</w:t>
            </w:r>
            <w:r w:rsidR="004E4A5A">
              <w:rPr>
                <w:b/>
                <w:sz w:val="20"/>
              </w:rPr>
              <w:t>12</w:t>
            </w:r>
            <w:r w:rsidR="00830837" w:rsidRPr="00830837">
              <w:rPr>
                <w:b/>
                <w:sz w:val="20"/>
              </w:rPr>
              <w:t>/202</w:t>
            </w:r>
            <w:r w:rsidR="004E4A5A">
              <w:rPr>
                <w:b/>
                <w:sz w:val="20"/>
              </w:rPr>
              <w:t>3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1B4517">
        <w:trPr>
          <w:trHeight w:val="919"/>
        </w:trPr>
        <w:tc>
          <w:tcPr>
            <w:tcW w:w="3544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7103B1BC" w:rsidR="00830837" w:rsidRPr="00830837" w:rsidRDefault="00830837" w:rsidP="0020037D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283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35C66319" w:rsidR="00830837" w:rsidRPr="00830837" w:rsidRDefault="00830837" w:rsidP="00E53736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16D47BD8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bookmarkStart w:id="1" w:name="_GoBack"/>
            <w:bookmarkEnd w:id="1"/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BB0D2E">
      <w:headerReference w:type="default" r:id="rId9"/>
      <w:footerReference w:type="default" r:id="rId10"/>
      <w:pgSz w:w="11910" w:h="16840"/>
      <w:pgMar w:top="0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E2361" w14:textId="77777777" w:rsidR="00751AB3" w:rsidRDefault="00751AB3">
      <w:r>
        <w:separator/>
      </w:r>
    </w:p>
  </w:endnote>
  <w:endnote w:type="continuationSeparator" w:id="0">
    <w:p w14:paraId="2ED7F30C" w14:textId="77777777" w:rsidR="00751AB3" w:rsidRDefault="0075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7FB1" w14:textId="77777777" w:rsidR="00751AB3" w:rsidRDefault="00751AB3">
      <w:r>
        <w:separator/>
      </w:r>
    </w:p>
  </w:footnote>
  <w:footnote w:type="continuationSeparator" w:id="0">
    <w:p w14:paraId="180E25C0" w14:textId="77777777" w:rsidR="00751AB3" w:rsidRDefault="0075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34"/>
    <w:multiLevelType w:val="hybridMultilevel"/>
    <w:tmpl w:val="A3B6178C"/>
    <w:lvl w:ilvl="0" w:tplc="CE763CC4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5CA85178"/>
    <w:multiLevelType w:val="hybridMultilevel"/>
    <w:tmpl w:val="5508A628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6AAA"/>
    <w:rsid w:val="0010401C"/>
    <w:rsid w:val="00180B5E"/>
    <w:rsid w:val="001B396A"/>
    <w:rsid w:val="001B4517"/>
    <w:rsid w:val="001C76A5"/>
    <w:rsid w:val="0020037D"/>
    <w:rsid w:val="002A6431"/>
    <w:rsid w:val="0035083A"/>
    <w:rsid w:val="003626A7"/>
    <w:rsid w:val="003660A7"/>
    <w:rsid w:val="003A3F48"/>
    <w:rsid w:val="003B5C9D"/>
    <w:rsid w:val="003C57A4"/>
    <w:rsid w:val="004062F5"/>
    <w:rsid w:val="00433969"/>
    <w:rsid w:val="004478BD"/>
    <w:rsid w:val="004571B3"/>
    <w:rsid w:val="0048734A"/>
    <w:rsid w:val="004B5A6B"/>
    <w:rsid w:val="004C41B2"/>
    <w:rsid w:val="004E4A5A"/>
    <w:rsid w:val="005618EC"/>
    <w:rsid w:val="00587986"/>
    <w:rsid w:val="005B3334"/>
    <w:rsid w:val="005D4CB6"/>
    <w:rsid w:val="005E7E0D"/>
    <w:rsid w:val="005F7988"/>
    <w:rsid w:val="00637B4A"/>
    <w:rsid w:val="006449F7"/>
    <w:rsid w:val="00682456"/>
    <w:rsid w:val="00684B4C"/>
    <w:rsid w:val="00692DF5"/>
    <w:rsid w:val="006A7869"/>
    <w:rsid w:val="006D7D3B"/>
    <w:rsid w:val="0074715E"/>
    <w:rsid w:val="00750531"/>
    <w:rsid w:val="00751AB3"/>
    <w:rsid w:val="00801EC5"/>
    <w:rsid w:val="00830837"/>
    <w:rsid w:val="00855871"/>
    <w:rsid w:val="008726C2"/>
    <w:rsid w:val="008C2DD5"/>
    <w:rsid w:val="00924DD0"/>
    <w:rsid w:val="00941664"/>
    <w:rsid w:val="009A23AA"/>
    <w:rsid w:val="009D76FA"/>
    <w:rsid w:val="00A25826"/>
    <w:rsid w:val="00A91B8D"/>
    <w:rsid w:val="00AB44A6"/>
    <w:rsid w:val="00B05037"/>
    <w:rsid w:val="00B059FB"/>
    <w:rsid w:val="00B502DD"/>
    <w:rsid w:val="00B60650"/>
    <w:rsid w:val="00BB0D2E"/>
    <w:rsid w:val="00BB24A9"/>
    <w:rsid w:val="00BC2183"/>
    <w:rsid w:val="00BF09EB"/>
    <w:rsid w:val="00C043D8"/>
    <w:rsid w:val="00C1034D"/>
    <w:rsid w:val="00C67A42"/>
    <w:rsid w:val="00C94E61"/>
    <w:rsid w:val="00C9635C"/>
    <w:rsid w:val="00CB430B"/>
    <w:rsid w:val="00D22616"/>
    <w:rsid w:val="00D334C0"/>
    <w:rsid w:val="00D743C1"/>
    <w:rsid w:val="00DA76B2"/>
    <w:rsid w:val="00DF0600"/>
    <w:rsid w:val="00DF3EDC"/>
    <w:rsid w:val="00E151A7"/>
    <w:rsid w:val="00E421D9"/>
    <w:rsid w:val="00E53736"/>
    <w:rsid w:val="00E7522F"/>
    <w:rsid w:val="00E84F43"/>
    <w:rsid w:val="00EE194F"/>
    <w:rsid w:val="00F11E20"/>
    <w:rsid w:val="00F219F9"/>
    <w:rsid w:val="00F42F81"/>
    <w:rsid w:val="00F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3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25A79-96FE-4B68-A432-66B77842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DurmuşUçak</cp:lastModifiedBy>
  <cp:revision>54</cp:revision>
  <cp:lastPrinted>2023-12-11T07:00:00Z</cp:lastPrinted>
  <dcterms:created xsi:type="dcterms:W3CDTF">2023-12-02T14:45:00Z</dcterms:created>
  <dcterms:modified xsi:type="dcterms:W3CDTF">2024-04-22T07:42:00Z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