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29" w:rsidRPr="006C108E" w:rsidRDefault="009E4C29" w:rsidP="009E4C29">
      <w:pPr>
        <w:pStyle w:val="Balk3"/>
        <w:spacing w:line="276" w:lineRule="auto"/>
        <w:ind w:left="641"/>
        <w:rPr>
          <w:rFonts w:cs="Times New Roman"/>
          <w:szCs w:val="24"/>
        </w:rPr>
      </w:pPr>
      <w:bookmarkStart w:id="0" w:name="_Toc419841367"/>
      <w:bookmarkStart w:id="1" w:name="_Toc474503404"/>
      <w:r w:rsidRPr="006C108E">
        <w:rPr>
          <w:rFonts w:cs="Times New Roman"/>
          <w:szCs w:val="24"/>
        </w:rPr>
        <w:t>6.2. Gidilen Ülkelere Göre Günlük Hibe Miktarları</w:t>
      </w:r>
      <w:bookmarkEnd w:id="0"/>
      <w:bookmarkEnd w:id="1"/>
    </w:p>
    <w:p w:rsidR="009E4C29" w:rsidRPr="009E4C29" w:rsidRDefault="009E4C29" w:rsidP="009E4C29">
      <w:pPr>
        <w:tabs>
          <w:tab w:val="left" w:pos="900"/>
        </w:tabs>
        <w:spacing w:after="120"/>
        <w:jc w:val="both"/>
        <w:outlineLvl w:val="1"/>
      </w:pPr>
      <w:bookmarkStart w:id="2" w:name="_Toc330902459"/>
      <w:bookmarkStart w:id="3" w:name="_Toc474500090"/>
      <w:bookmarkStart w:id="4" w:name="_Toc474503405"/>
      <w:r w:rsidRPr="006C108E">
        <w:t>Personel hareketliliğinden faydalanacak personele verilecek olan gündelik miktarı gidilen ülke ile birlikte gidilen süreye göre aşağıdaki tabloda belirtilen tutarlar dikkate alınarak hesaplanır. Tabloda gösterilen miktarlar Avro cinsindendir.</w:t>
      </w:r>
      <w:bookmarkStart w:id="5" w:name="_Toc330902460"/>
      <w:bookmarkStart w:id="6" w:name="_Toc474500091"/>
      <w:bookmarkStart w:id="7" w:name="_Toc474503406"/>
      <w:bookmarkEnd w:id="2"/>
      <w:bookmarkEnd w:id="3"/>
      <w:bookmarkEnd w:id="4"/>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4943"/>
        <w:gridCol w:w="1417"/>
      </w:tblGrid>
      <w:tr w:rsidR="009E4C29" w:rsidRPr="00030A5D" w:rsidTr="00CE54E0">
        <w:trPr>
          <w:trHeight w:val="900"/>
        </w:trPr>
        <w:tc>
          <w:tcPr>
            <w:tcW w:w="2003"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Ülke Grupları</w:t>
            </w:r>
          </w:p>
        </w:tc>
        <w:tc>
          <w:tcPr>
            <w:tcW w:w="4943"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Hareketlilikte Misafir Olunan Ülkeler</w:t>
            </w:r>
          </w:p>
        </w:tc>
        <w:tc>
          <w:tcPr>
            <w:tcW w:w="1417" w:type="dxa"/>
            <w:tcMar>
              <w:top w:w="0" w:type="dxa"/>
              <w:left w:w="108" w:type="dxa"/>
              <w:bottom w:w="0" w:type="dxa"/>
              <w:right w:w="108" w:type="dxa"/>
            </w:tcMar>
            <w:vAlign w:val="center"/>
            <w:hideMark/>
          </w:tcPr>
          <w:p w:rsidR="009E4C29" w:rsidRPr="00030A5D" w:rsidRDefault="009E4C29" w:rsidP="00CE54E0">
            <w:pPr>
              <w:jc w:val="center"/>
              <w:rPr>
                <w:b/>
                <w:bCs/>
                <w:color w:val="000000"/>
                <w:highlight w:val="yellow"/>
              </w:rPr>
            </w:pPr>
            <w:r w:rsidRPr="00030A5D">
              <w:rPr>
                <w:b/>
                <w:bCs/>
                <w:color w:val="000000"/>
                <w:highlight w:val="yellow"/>
              </w:rPr>
              <w:t>Günlük hibe miktarları (Avro)</w:t>
            </w:r>
          </w:p>
        </w:tc>
      </w:tr>
      <w:tr w:rsidR="009E4C29" w:rsidRPr="00030A5D" w:rsidTr="00CE54E0">
        <w:trPr>
          <w:trHeight w:val="706"/>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1.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9E4C29" w:rsidRPr="00030A5D" w:rsidRDefault="009E4C29" w:rsidP="00CE54E0">
            <w:pPr>
              <w:jc w:val="center"/>
              <w:rPr>
                <w:highlight w:val="yellow"/>
              </w:rPr>
            </w:pPr>
            <w:r w:rsidRPr="00030A5D">
              <w:rPr>
                <w:highlight w:val="yellow"/>
              </w:rPr>
              <w:t>153</w:t>
            </w:r>
          </w:p>
        </w:tc>
      </w:tr>
      <w:tr w:rsidR="009E4C29" w:rsidRPr="00030A5D" w:rsidTr="00CE54E0">
        <w:trPr>
          <w:trHeight w:val="856"/>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2.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9E4C29" w:rsidRPr="00030A5D" w:rsidRDefault="009E4C29" w:rsidP="00CE54E0">
            <w:pPr>
              <w:jc w:val="center"/>
              <w:rPr>
                <w:highlight w:val="yellow"/>
              </w:rPr>
            </w:pPr>
            <w:r w:rsidRPr="00030A5D">
              <w:rPr>
                <w:highlight w:val="yellow"/>
              </w:rPr>
              <w:t>136</w:t>
            </w:r>
          </w:p>
        </w:tc>
      </w:tr>
      <w:tr w:rsidR="009E4C29" w:rsidRPr="006C108E" w:rsidTr="00CE54E0">
        <w:trPr>
          <w:trHeight w:val="744"/>
        </w:trPr>
        <w:tc>
          <w:tcPr>
            <w:tcW w:w="200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3. Grup Program Ülkeleri</w:t>
            </w:r>
          </w:p>
        </w:tc>
        <w:tc>
          <w:tcPr>
            <w:tcW w:w="4943" w:type="dxa"/>
            <w:tcMar>
              <w:top w:w="0" w:type="dxa"/>
              <w:left w:w="108" w:type="dxa"/>
              <w:bottom w:w="0" w:type="dxa"/>
              <w:right w:w="108" w:type="dxa"/>
            </w:tcMar>
            <w:vAlign w:val="center"/>
            <w:hideMark/>
          </w:tcPr>
          <w:p w:rsidR="009E4C29" w:rsidRPr="00030A5D" w:rsidRDefault="009E4C29" w:rsidP="00CE54E0">
            <w:pPr>
              <w:rPr>
                <w:highlight w:val="yellow"/>
              </w:rPr>
            </w:pPr>
            <w:r w:rsidRPr="00030A5D">
              <w:rPr>
                <w:highlight w:val="yellow"/>
              </w:rPr>
              <w:t xml:space="preserve">Bulgaristan, Çek Cumhuriyeti, Estonya, Hırvatistan, Letonya, Litvanya, Macaristan, Makedonya, Polonya, Romanya, Slovakya, Slovenya, Türkiye </w:t>
            </w:r>
            <w:r w:rsidRPr="00030A5D">
              <w:rPr>
                <w:i/>
                <w:highlight w:val="yellow"/>
              </w:rPr>
              <w:t>*</w:t>
            </w:r>
            <w:r w:rsidRPr="00030A5D">
              <w:rPr>
                <w:highlight w:val="yellow"/>
              </w:rPr>
              <w:t xml:space="preserve"> </w:t>
            </w:r>
          </w:p>
        </w:tc>
        <w:tc>
          <w:tcPr>
            <w:tcW w:w="1417" w:type="dxa"/>
            <w:tcMar>
              <w:top w:w="0" w:type="dxa"/>
              <w:left w:w="108" w:type="dxa"/>
              <w:bottom w:w="0" w:type="dxa"/>
              <w:right w:w="108" w:type="dxa"/>
            </w:tcMar>
            <w:vAlign w:val="center"/>
            <w:hideMark/>
          </w:tcPr>
          <w:p w:rsidR="009E4C29" w:rsidRPr="006C108E" w:rsidRDefault="009E4C29" w:rsidP="00CE54E0">
            <w:pPr>
              <w:jc w:val="center"/>
            </w:pPr>
            <w:r w:rsidRPr="00030A5D">
              <w:rPr>
                <w:highlight w:val="yellow"/>
              </w:rPr>
              <w:t>119</w:t>
            </w:r>
          </w:p>
        </w:tc>
      </w:tr>
    </w:tbl>
    <w:p w:rsidR="009E4C29" w:rsidRPr="006C108E" w:rsidRDefault="009E4C29" w:rsidP="009E4C29">
      <w:pPr>
        <w:tabs>
          <w:tab w:val="left" w:pos="900"/>
        </w:tabs>
        <w:spacing w:after="120"/>
        <w:ind w:left="284" w:hanging="284"/>
        <w:jc w:val="both"/>
        <w:outlineLvl w:val="1"/>
        <w:rPr>
          <w:i/>
        </w:rPr>
      </w:pPr>
    </w:p>
    <w:p w:rsidR="009E4C29" w:rsidRPr="006C108E" w:rsidRDefault="009E4C29" w:rsidP="009E4C29">
      <w:pPr>
        <w:tabs>
          <w:tab w:val="left" w:pos="900"/>
        </w:tabs>
        <w:spacing w:after="120"/>
        <w:ind w:left="284" w:hanging="284"/>
        <w:jc w:val="both"/>
        <w:outlineLvl w:val="1"/>
        <w:rPr>
          <w:i/>
        </w:rPr>
      </w:pPr>
      <w:r w:rsidRPr="006C108E">
        <w:rPr>
          <w:i/>
        </w:rPr>
        <w:t>* Yalnızca yurtdışındaki bir işletmeden ders vermek üzere davet edilen personel için kullanılmaktadır.</w:t>
      </w:r>
      <w:bookmarkEnd w:id="5"/>
      <w:bookmarkEnd w:id="6"/>
      <w:bookmarkEnd w:id="7"/>
      <w:r w:rsidRPr="006C108E">
        <w:rPr>
          <w:i/>
        </w:rPr>
        <w:t xml:space="preserve"> </w:t>
      </w:r>
    </w:p>
    <w:p w:rsidR="009E4C29" w:rsidRPr="006C108E" w:rsidRDefault="009E4C29" w:rsidP="009E4C29">
      <w:pPr>
        <w:tabs>
          <w:tab w:val="left" w:pos="900"/>
        </w:tabs>
        <w:spacing w:after="120"/>
        <w:ind w:left="284" w:hanging="284"/>
        <w:jc w:val="both"/>
        <w:outlineLvl w:val="1"/>
      </w:pPr>
      <w:r w:rsidRPr="006C108E">
        <w:t>Tablo-3 Personel Hareketliliği Günlük Bireysel Destek Hibe Miktarları Tablosu</w:t>
      </w:r>
    </w:p>
    <w:p w:rsidR="009E4C29" w:rsidRPr="006C108E" w:rsidRDefault="009E4C29" w:rsidP="009E4C29">
      <w:pPr>
        <w:jc w:val="both"/>
      </w:pPr>
      <w:bookmarkStart w:id="8" w:name="_Toc330902456"/>
      <w:r w:rsidRPr="006C108E">
        <w:t>14 günden daha uzun süren personel hareketliliği faaliyetlerinde; 15’inci ve sonrası günler için yukarıda verilen günlük hibe miktarının %70’i gündelik olarak esas alınmalıdır.</w:t>
      </w:r>
    </w:p>
    <w:p w:rsidR="009E4C29" w:rsidRPr="006C108E" w:rsidRDefault="009E4C29" w:rsidP="009E4C29">
      <w:pPr>
        <w:spacing w:after="120"/>
        <w:jc w:val="both"/>
      </w:pPr>
      <w:r w:rsidRPr="006C108E">
        <w:t>Herhangi bir faaliyet içermeyen ya da gerçekleştirilen faaliyetin türüne uygun faaliyet yapıldığı belgelenemeyen günler için hibe ödemesi yapılmaz.</w:t>
      </w:r>
    </w:p>
    <w:p w:rsidR="009E4C29" w:rsidRPr="006C108E" w:rsidRDefault="009E4C29" w:rsidP="009E4C29">
      <w:pPr>
        <w:pStyle w:val="Balk3"/>
        <w:spacing w:line="276" w:lineRule="auto"/>
        <w:ind w:left="641"/>
        <w:rPr>
          <w:rFonts w:cs="Times New Roman"/>
          <w:szCs w:val="24"/>
        </w:rPr>
      </w:pPr>
      <w:bookmarkStart w:id="9" w:name="_Toc330902446"/>
      <w:bookmarkStart w:id="10" w:name="_Toc419841368"/>
      <w:bookmarkStart w:id="11" w:name="_Toc474503407"/>
      <w:r w:rsidRPr="006C108E">
        <w:rPr>
          <w:rFonts w:cs="Times New Roman"/>
          <w:szCs w:val="24"/>
        </w:rPr>
        <w:t>6.3. Hibe Hesaplamaları</w:t>
      </w:r>
      <w:bookmarkEnd w:id="9"/>
      <w:bookmarkEnd w:id="10"/>
      <w:bookmarkEnd w:id="11"/>
    </w:p>
    <w:p w:rsidR="009E4C29" w:rsidRPr="006C108E" w:rsidRDefault="009E4C29" w:rsidP="009E4C29">
      <w:pPr>
        <w:pStyle w:val="Balk4"/>
        <w:spacing w:line="276" w:lineRule="auto"/>
        <w:ind w:left="641"/>
        <w:rPr>
          <w:sz w:val="24"/>
          <w:szCs w:val="24"/>
          <w:lang w:val="tr-TR"/>
        </w:rPr>
      </w:pPr>
      <w:bookmarkStart w:id="12" w:name="_Toc419841369"/>
      <w:r w:rsidRPr="006C108E">
        <w:rPr>
          <w:sz w:val="24"/>
          <w:szCs w:val="24"/>
          <w:lang w:val="tr-TR"/>
        </w:rPr>
        <w:t>6.3.1 Gündelik Hesaplamaları</w:t>
      </w:r>
      <w:bookmarkEnd w:id="12"/>
    </w:p>
    <w:p w:rsidR="009E4C29" w:rsidRPr="006C108E" w:rsidRDefault="009E4C29" w:rsidP="009E4C29">
      <w:pPr>
        <w:tabs>
          <w:tab w:val="left" w:pos="0"/>
          <w:tab w:val="left" w:pos="900"/>
        </w:tabs>
        <w:spacing w:after="120"/>
        <w:jc w:val="both"/>
        <w:outlineLvl w:val="1"/>
      </w:pPr>
      <w:bookmarkStart w:id="13" w:name="_Toc474503408"/>
      <w:bookmarkStart w:id="14" w:name="_Toc330902447"/>
      <w:r w:rsidRPr="006C108E">
        <w:t>Personelin faaliyet süreleri ve hibeleri, faaliyet başlamadan önce tahminî olarak hesaplanır. Faaliyet sona erdikten sonra gerçekleşen kesin süreler ve hibeler tekrar hesaplanmalıdır.</w:t>
      </w:r>
      <w:bookmarkEnd w:id="13"/>
      <w:r w:rsidRPr="006C108E">
        <w:t xml:space="preserve"> </w:t>
      </w:r>
    </w:p>
    <w:p w:rsidR="009E4C29" w:rsidRPr="006C108E" w:rsidRDefault="009E4C29" w:rsidP="009E4C29">
      <w:pPr>
        <w:tabs>
          <w:tab w:val="left" w:pos="0"/>
        </w:tabs>
        <w:spacing w:after="120"/>
        <w:jc w:val="both"/>
        <w:outlineLvl w:val="1"/>
      </w:pPr>
      <w:bookmarkStart w:id="15" w:name="_Toc474503409"/>
      <w:r w:rsidRPr="006C108E">
        <w:t xml:space="preserve">Personelin faaliyet süreleri kısmen veya tamamen </w:t>
      </w:r>
      <w:proofErr w:type="spellStart"/>
      <w:r w:rsidRPr="006C108E">
        <w:t>hibelendirilir</w:t>
      </w:r>
      <w:proofErr w:type="spellEnd"/>
      <w:r w:rsidRPr="006C108E">
        <w:t xml:space="preserve"> veya faaliyet tamamen </w:t>
      </w:r>
      <w:proofErr w:type="spellStart"/>
      <w:r w:rsidRPr="006C108E">
        <w:t>hibesiz</w:t>
      </w:r>
      <w:proofErr w:type="spellEnd"/>
      <w:r w:rsidRPr="006C108E">
        <w:t xml:space="preserve"> yani “sıfır hibeli” olarak gerçekleştirilebilir. Faaliyet süresinin kısmen </w:t>
      </w:r>
      <w:proofErr w:type="spellStart"/>
      <w:r w:rsidRPr="006C108E">
        <w:t>hibelendirilmesi</w:t>
      </w:r>
      <w:proofErr w:type="spellEnd"/>
      <w:r w:rsidRPr="006C108E">
        <w:t xml:space="preserve"> halinde, hibe verilecek süre personel hareketliliği için 2 günden kısa olamaz.</w:t>
      </w:r>
      <w:bookmarkEnd w:id="15"/>
    </w:p>
    <w:p w:rsidR="009E4C29" w:rsidRPr="006C108E" w:rsidRDefault="009E4C29" w:rsidP="009E4C29">
      <w:pPr>
        <w:pStyle w:val="Balk4"/>
        <w:spacing w:line="276" w:lineRule="auto"/>
        <w:ind w:left="641"/>
        <w:rPr>
          <w:sz w:val="24"/>
          <w:szCs w:val="24"/>
          <w:lang w:val="tr-TR"/>
        </w:rPr>
      </w:pPr>
      <w:bookmarkStart w:id="16" w:name="_Toc419841370"/>
      <w:bookmarkEnd w:id="14"/>
      <w:r w:rsidRPr="006C108E">
        <w:rPr>
          <w:sz w:val="24"/>
          <w:szCs w:val="24"/>
          <w:lang w:val="tr-TR"/>
        </w:rPr>
        <w:t>6.3.2 Seyahat Gideri Hesaplamaları</w:t>
      </w:r>
      <w:bookmarkEnd w:id="16"/>
    </w:p>
    <w:p w:rsidR="009E4C29" w:rsidRPr="006C108E" w:rsidRDefault="009E4C29" w:rsidP="009E4C29">
      <w:pPr>
        <w:jc w:val="both"/>
      </w:pPr>
      <w:r w:rsidRPr="006C108E">
        <w:t>Personel hareketliliği faaliyetinden faydalanan personeline ödenecek seyahat gideri miktarı “Mesafe Hesaplayıcı” kullanılarak hesap edilmelidir. Mesafe hesaplayıcısına aşağıdaki bağlantıdan ulaşılabilmektedir:</w:t>
      </w:r>
    </w:p>
    <w:p w:rsidR="009E4C29" w:rsidRPr="006C108E" w:rsidRDefault="009E4C29" w:rsidP="009E4C29">
      <w:pPr>
        <w:rPr>
          <w:color w:val="244061"/>
        </w:rPr>
      </w:pPr>
    </w:p>
    <w:p w:rsidR="009E4C29" w:rsidRPr="006C108E" w:rsidRDefault="00B50404" w:rsidP="009E4C29">
      <w:hyperlink r:id="rId4" w:history="1">
        <w:r w:rsidR="009E4C29" w:rsidRPr="006C108E">
          <w:rPr>
            <w:rStyle w:val="Kpr"/>
          </w:rPr>
          <w:t>http://ec.europa.eu/programmes/erasmus-plus/tools/distance_en.htm</w:t>
        </w:r>
      </w:hyperlink>
    </w:p>
    <w:p w:rsidR="009E4C29" w:rsidRPr="006C108E" w:rsidRDefault="009E4C29" w:rsidP="009E4C29"/>
    <w:p w:rsidR="009E4C29" w:rsidRPr="006C108E" w:rsidRDefault="009E4C29" w:rsidP="009E4C29">
      <w:pPr>
        <w:tabs>
          <w:tab w:val="left" w:pos="0"/>
        </w:tabs>
        <w:spacing w:after="120"/>
        <w:jc w:val="both"/>
        <w:outlineLvl w:val="1"/>
      </w:pPr>
      <w:r w:rsidRPr="006C108E">
        <w:lastRenderedPageBreak/>
        <w:t xml:space="preserve">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 </w:t>
      </w:r>
    </w:p>
    <w:p w:rsidR="009E4C29" w:rsidRPr="006C108E" w:rsidRDefault="009E4C29" w:rsidP="009E4C29">
      <w:pPr>
        <w:jc w:val="both"/>
      </w:pPr>
    </w:p>
    <w:tbl>
      <w:tblPr>
        <w:tblStyle w:val="TabloKlavuzu"/>
        <w:tblW w:w="0" w:type="auto"/>
        <w:tblLook w:val="04A0" w:firstRow="1" w:lastRow="0" w:firstColumn="1" w:lastColumn="0" w:noHBand="0" w:noVBand="1"/>
      </w:tblPr>
      <w:tblGrid>
        <w:gridCol w:w="2943"/>
        <w:gridCol w:w="1701"/>
      </w:tblGrid>
      <w:tr w:rsidR="009E4C29" w:rsidRPr="006C108E" w:rsidTr="00CE54E0">
        <w:trPr>
          <w:trHeight w:hRule="exact" w:val="789"/>
        </w:trPr>
        <w:tc>
          <w:tcPr>
            <w:tcW w:w="2943" w:type="dxa"/>
            <w:vAlign w:val="center"/>
          </w:tcPr>
          <w:p w:rsidR="009E4C29" w:rsidRPr="006C108E" w:rsidRDefault="009E4C29" w:rsidP="00CE54E0">
            <w:pPr>
              <w:spacing w:line="276" w:lineRule="auto"/>
              <w:jc w:val="center"/>
              <w:rPr>
                <w:b/>
              </w:rPr>
            </w:pPr>
            <w:r w:rsidRPr="006C108E">
              <w:rPr>
                <w:b/>
              </w:rPr>
              <w:t>Elde edilen “km” değeri</w:t>
            </w:r>
          </w:p>
        </w:tc>
        <w:tc>
          <w:tcPr>
            <w:tcW w:w="1701" w:type="dxa"/>
            <w:vAlign w:val="center"/>
          </w:tcPr>
          <w:p w:rsidR="009E4C29" w:rsidRPr="006C108E" w:rsidRDefault="009E4C29" w:rsidP="00CE54E0">
            <w:pPr>
              <w:spacing w:line="276" w:lineRule="auto"/>
              <w:jc w:val="center"/>
              <w:rPr>
                <w:b/>
              </w:rPr>
            </w:pPr>
            <w:r w:rsidRPr="006C108E">
              <w:rPr>
                <w:b/>
              </w:rPr>
              <w:t>Hibe miktarı (Avro)</w:t>
            </w:r>
          </w:p>
        </w:tc>
      </w:tr>
      <w:tr w:rsidR="009E4C29" w:rsidRPr="006C108E" w:rsidTr="00CE54E0">
        <w:trPr>
          <w:trHeight w:hRule="exact" w:val="421"/>
        </w:trPr>
        <w:tc>
          <w:tcPr>
            <w:tcW w:w="2943" w:type="dxa"/>
            <w:vAlign w:val="center"/>
          </w:tcPr>
          <w:p w:rsidR="009E4C29" w:rsidRPr="006C108E" w:rsidRDefault="009E4C29" w:rsidP="00CE54E0">
            <w:pPr>
              <w:spacing w:line="276" w:lineRule="auto"/>
              <w:jc w:val="center"/>
            </w:pPr>
            <w:r w:rsidRPr="006C108E">
              <w:t>10-99 KM arası</w:t>
            </w:r>
          </w:p>
        </w:tc>
        <w:tc>
          <w:tcPr>
            <w:tcW w:w="1701" w:type="dxa"/>
            <w:vAlign w:val="center"/>
          </w:tcPr>
          <w:p w:rsidR="009E4C29" w:rsidRPr="006C108E" w:rsidRDefault="009E4C29" w:rsidP="00CE54E0">
            <w:pPr>
              <w:spacing w:line="276" w:lineRule="auto"/>
              <w:jc w:val="center"/>
            </w:pPr>
            <w:r w:rsidRPr="006C108E">
              <w:t>20 €</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100 - 499 KM arası</w:t>
            </w:r>
          </w:p>
        </w:tc>
        <w:tc>
          <w:tcPr>
            <w:tcW w:w="1701" w:type="dxa"/>
          </w:tcPr>
          <w:p w:rsidR="009E4C29" w:rsidRPr="006C108E" w:rsidRDefault="009E4C29" w:rsidP="00CE54E0">
            <w:pPr>
              <w:spacing w:line="276" w:lineRule="auto"/>
              <w:jc w:val="center"/>
            </w:pPr>
            <w:r w:rsidRPr="006C108E">
              <w:t>180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500 - 1999 KM arası</w:t>
            </w:r>
          </w:p>
        </w:tc>
        <w:tc>
          <w:tcPr>
            <w:tcW w:w="1701" w:type="dxa"/>
          </w:tcPr>
          <w:p w:rsidR="009E4C29" w:rsidRPr="006C108E" w:rsidRDefault="009E4C29" w:rsidP="00CE54E0">
            <w:pPr>
              <w:spacing w:line="276" w:lineRule="auto"/>
              <w:jc w:val="center"/>
            </w:pPr>
            <w:r w:rsidRPr="006C108E">
              <w:t>275</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2000 - 2999 KM arası</w:t>
            </w:r>
          </w:p>
        </w:tc>
        <w:tc>
          <w:tcPr>
            <w:tcW w:w="1701" w:type="dxa"/>
          </w:tcPr>
          <w:p w:rsidR="009E4C29" w:rsidRPr="006C108E" w:rsidRDefault="009E4C29" w:rsidP="00CE54E0">
            <w:pPr>
              <w:spacing w:line="276" w:lineRule="auto"/>
              <w:jc w:val="center"/>
            </w:pPr>
            <w:r w:rsidRPr="006C108E">
              <w:t>360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3000 - 3999 KM arası</w:t>
            </w:r>
          </w:p>
        </w:tc>
        <w:tc>
          <w:tcPr>
            <w:tcW w:w="1701" w:type="dxa"/>
          </w:tcPr>
          <w:p w:rsidR="009E4C29" w:rsidRPr="006C108E" w:rsidRDefault="009E4C29" w:rsidP="00CE54E0">
            <w:pPr>
              <w:spacing w:line="276" w:lineRule="auto"/>
              <w:jc w:val="center"/>
            </w:pPr>
            <w:r w:rsidRPr="006C108E">
              <w:t>530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4000 - 7999 KM arası</w:t>
            </w:r>
          </w:p>
        </w:tc>
        <w:tc>
          <w:tcPr>
            <w:tcW w:w="1701" w:type="dxa"/>
          </w:tcPr>
          <w:p w:rsidR="009E4C29" w:rsidRPr="006C108E" w:rsidRDefault="009E4C29" w:rsidP="00CE54E0">
            <w:pPr>
              <w:spacing w:line="276" w:lineRule="auto"/>
              <w:jc w:val="center"/>
            </w:pPr>
            <w:r w:rsidRPr="006C108E">
              <w:t>820</w:t>
            </w:r>
          </w:p>
        </w:tc>
      </w:tr>
      <w:tr w:rsidR="009E4C29" w:rsidRPr="006C108E" w:rsidTr="00CE54E0">
        <w:trPr>
          <w:trHeight w:hRule="exact" w:val="397"/>
        </w:trPr>
        <w:tc>
          <w:tcPr>
            <w:tcW w:w="2943" w:type="dxa"/>
          </w:tcPr>
          <w:p w:rsidR="009E4C29" w:rsidRPr="006C108E" w:rsidRDefault="009E4C29" w:rsidP="00CE54E0">
            <w:pPr>
              <w:spacing w:line="276" w:lineRule="auto"/>
              <w:jc w:val="center"/>
            </w:pPr>
            <w:r w:rsidRPr="006C108E">
              <w:t>8000 KM ve üzeri</w:t>
            </w:r>
          </w:p>
        </w:tc>
        <w:tc>
          <w:tcPr>
            <w:tcW w:w="1701" w:type="dxa"/>
          </w:tcPr>
          <w:p w:rsidR="009E4C29" w:rsidRPr="006C108E" w:rsidRDefault="009E4C29" w:rsidP="00CE54E0">
            <w:pPr>
              <w:spacing w:line="276" w:lineRule="auto"/>
              <w:jc w:val="center"/>
            </w:pPr>
            <w:r w:rsidRPr="006C108E">
              <w:t>1500</w:t>
            </w:r>
          </w:p>
        </w:tc>
      </w:tr>
    </w:tbl>
    <w:p w:rsidR="009E4C29" w:rsidRPr="006C108E" w:rsidRDefault="009E4C29" w:rsidP="009E4C29">
      <w:pPr>
        <w:jc w:val="both"/>
      </w:pPr>
    </w:p>
    <w:p w:rsidR="009E4C29" w:rsidRPr="006C108E" w:rsidRDefault="009E4C29" w:rsidP="009E4C29">
      <w:pPr>
        <w:jc w:val="both"/>
      </w:pPr>
      <w:r w:rsidRPr="006C108E">
        <w:t>Tablo-4 Mesafe Bandı ve Seyahat Hibesi Tablosu</w:t>
      </w:r>
      <w:bookmarkStart w:id="17" w:name="_GoBack"/>
      <w:bookmarkEnd w:id="17"/>
    </w:p>
    <w:p w:rsidR="009E4C29" w:rsidRPr="006C108E" w:rsidRDefault="009E4C29" w:rsidP="009E4C29">
      <w:pPr>
        <w:jc w:val="both"/>
      </w:pPr>
    </w:p>
    <w:p w:rsidR="009E4C29" w:rsidRPr="006C108E" w:rsidRDefault="009E4C29" w:rsidP="009E4C29">
      <w:pPr>
        <w:pStyle w:val="Balk2"/>
        <w:ind w:left="0"/>
        <w:rPr>
          <w:rFonts w:cs="Times New Roman"/>
          <w:szCs w:val="24"/>
          <w:lang w:val="tr-TR"/>
        </w:rPr>
      </w:pPr>
      <w:bookmarkStart w:id="18" w:name="_Toc419841371"/>
      <w:bookmarkStart w:id="19" w:name="_Toc474503410"/>
      <w:r w:rsidRPr="006C108E">
        <w:rPr>
          <w:rFonts w:cs="Times New Roman"/>
          <w:szCs w:val="24"/>
          <w:lang w:val="tr-TR"/>
        </w:rPr>
        <w:t>7. Personele Yapılacak Ödeme</w:t>
      </w:r>
      <w:bookmarkEnd w:id="18"/>
      <w:bookmarkEnd w:id="19"/>
    </w:p>
    <w:p w:rsidR="009E4C29" w:rsidRPr="006C108E" w:rsidRDefault="009E4C29" w:rsidP="009E4C29">
      <w:pPr>
        <w:spacing w:after="120"/>
        <w:jc w:val="both"/>
        <w:outlineLvl w:val="1"/>
      </w:pPr>
      <w:bookmarkStart w:id="20" w:name="_Toc474500096"/>
      <w:bookmarkStart w:id="21" w:name="_Toc474503411"/>
      <w:proofErr w:type="gramStart"/>
      <w:r w:rsidRPr="006C108E">
        <w:t>Tutanakla kayıt altına alınan seçim listelerinin ve personel sözleşmelerinin birer kopyalarının proje hesabını tutan ve ödemeyi yapacak ilgili birimlere (strateji geliştirme, mali işler, muhasebe birimi vb.) imzalı olarak iletilmesi ve ödeme aşamasında, ödeme belgesinde yer alan yararlanıcı bilgileri ile hibe tutarının söz konusu listelerde yer alan bilgiler ile tutarlılığı kontrol edildikten sonra ödemenin yapılması gerekmektedir.</w:t>
      </w:r>
      <w:bookmarkEnd w:id="20"/>
      <w:bookmarkEnd w:id="21"/>
      <w:r w:rsidRPr="006C108E">
        <w:t xml:space="preserve"> </w:t>
      </w:r>
      <w:proofErr w:type="gramEnd"/>
    </w:p>
    <w:p w:rsidR="009E4C29" w:rsidRPr="006C108E" w:rsidRDefault="009E4C29" w:rsidP="009E4C29">
      <w:pPr>
        <w:tabs>
          <w:tab w:val="left" w:pos="0"/>
        </w:tabs>
        <w:spacing w:after="120"/>
        <w:jc w:val="both"/>
        <w:outlineLvl w:val="1"/>
      </w:pPr>
      <w:bookmarkStart w:id="22" w:name="_Toc474500097"/>
      <w:bookmarkStart w:id="23" w:name="_Toc474503412"/>
      <w:r w:rsidRPr="006C108E">
        <w:t>Yükseköğretim kurumu, mümkün olan durumlarda, AB Komisyonu tarafından ödenen hibelerin Merkeze ulaşması ve Merkezin de yararlanıcı kuruma bu hibeyi aktarması şartı ile yararlanıcıya faaliyet dönemi başlamadan veya yurtdışına çıkmadan önce ödeme yapar.</w:t>
      </w:r>
      <w:bookmarkEnd w:id="22"/>
      <w:bookmarkEnd w:id="23"/>
    </w:p>
    <w:p w:rsidR="009E4C29" w:rsidRPr="006C108E" w:rsidRDefault="009E4C29" w:rsidP="009E4C29">
      <w:pPr>
        <w:tabs>
          <w:tab w:val="left" w:pos="0"/>
        </w:tabs>
        <w:spacing w:after="120"/>
        <w:jc w:val="both"/>
        <w:outlineLvl w:val="1"/>
      </w:pPr>
      <w:bookmarkStart w:id="24" w:name="_Toc330902453"/>
      <w:bookmarkStart w:id="25" w:name="_Toc474500098"/>
      <w:bookmarkStart w:id="26" w:name="_Toc474503413"/>
      <w:r w:rsidRPr="006C108E">
        <w:t>Hibe ödemeleri vergi kesintilerine tabi tutulmaksızın, Avro olarak yapılır.</w:t>
      </w:r>
      <w:bookmarkEnd w:id="24"/>
      <w:bookmarkEnd w:id="25"/>
      <w:bookmarkEnd w:id="26"/>
    </w:p>
    <w:p w:rsidR="009E4C29" w:rsidRPr="006C108E" w:rsidRDefault="009E4C29" w:rsidP="009E4C29">
      <w:pPr>
        <w:tabs>
          <w:tab w:val="left" w:pos="0"/>
        </w:tabs>
        <w:spacing w:after="120"/>
        <w:jc w:val="both"/>
        <w:outlineLvl w:val="1"/>
      </w:pPr>
      <w:bookmarkStart w:id="27" w:name="_Toc474500099"/>
      <w:bookmarkStart w:id="28" w:name="_Toc474503414"/>
      <w:r w:rsidRPr="006C108E">
        <w:t>Faaliyetin gerçekleşmediği durumlarda yararlanıcıya herhangi bir hibe ödemesi yapılmaz</w:t>
      </w:r>
      <w:bookmarkEnd w:id="27"/>
      <w:bookmarkEnd w:id="28"/>
      <w:r w:rsidRPr="006C108E">
        <w:t>.</w:t>
      </w:r>
    </w:p>
    <w:p w:rsidR="009E4C29" w:rsidRPr="006C108E" w:rsidRDefault="009E4C29" w:rsidP="009E4C29">
      <w:pPr>
        <w:pStyle w:val="Balk2"/>
        <w:ind w:left="0"/>
        <w:rPr>
          <w:rFonts w:cs="Times New Roman"/>
          <w:szCs w:val="24"/>
          <w:lang w:val="tr-TR"/>
        </w:rPr>
      </w:pPr>
      <w:bookmarkStart w:id="29" w:name="_Toc419841372"/>
      <w:bookmarkStart w:id="30" w:name="_Toc474503415"/>
      <w:bookmarkStart w:id="31" w:name="_Toc330902461"/>
      <w:bookmarkEnd w:id="8"/>
      <w:r w:rsidRPr="006C108E">
        <w:rPr>
          <w:rFonts w:cs="Times New Roman"/>
          <w:szCs w:val="24"/>
          <w:lang w:val="tr-TR"/>
        </w:rPr>
        <w:t>8. Ödemede Kesinti Yapılması</w:t>
      </w:r>
      <w:bookmarkEnd w:id="29"/>
      <w:bookmarkEnd w:id="30"/>
    </w:p>
    <w:bookmarkEnd w:id="31"/>
    <w:p w:rsidR="009E4C29" w:rsidRPr="006C108E" w:rsidRDefault="009E4C29" w:rsidP="009E4C29">
      <w:pPr>
        <w:autoSpaceDE w:val="0"/>
        <w:autoSpaceDN w:val="0"/>
        <w:adjustRightInd w:val="0"/>
        <w:spacing w:after="120"/>
        <w:jc w:val="both"/>
      </w:pPr>
      <w:r w:rsidRPr="006C108E">
        <w:t>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personelden geri istenen tutarlar, Merkeze iade edilmelidir.</w:t>
      </w:r>
    </w:p>
    <w:p w:rsidR="00BA6EA9" w:rsidRPr="00A4281C" w:rsidRDefault="00BA6EA9" w:rsidP="00BA6EA9">
      <w:pPr>
        <w:autoSpaceDE w:val="0"/>
        <w:autoSpaceDN w:val="0"/>
        <w:adjustRightInd w:val="0"/>
        <w:jc w:val="both"/>
        <w:rPr>
          <w:rFonts w:ascii="Calibri" w:hAnsi="Calibri" w:cs="Calibri"/>
          <w:b/>
        </w:rPr>
      </w:pPr>
    </w:p>
    <w:p w:rsidR="002E040D" w:rsidRDefault="002E040D" w:rsidP="001774FD">
      <w:pPr>
        <w:jc w:val="both"/>
      </w:pPr>
    </w:p>
    <w:p w:rsidR="00C3664E" w:rsidRDefault="00C3664E" w:rsidP="001774FD">
      <w:pPr>
        <w:jc w:val="both"/>
      </w:pPr>
    </w:p>
    <w:sectPr w:rsidR="00C3664E" w:rsidSect="00AB4554">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45"/>
    <w:rsid w:val="001774FD"/>
    <w:rsid w:val="002E040D"/>
    <w:rsid w:val="00345345"/>
    <w:rsid w:val="0037322C"/>
    <w:rsid w:val="009E4C29"/>
    <w:rsid w:val="00AB4554"/>
    <w:rsid w:val="00B50404"/>
    <w:rsid w:val="00BA6EA9"/>
    <w:rsid w:val="00C36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0AF8"/>
  <w15:docId w15:val="{6BE4244B-81C4-4820-8F38-E75D40C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9E4C29"/>
    <w:pPr>
      <w:keepNext/>
      <w:spacing w:after="120"/>
      <w:ind w:left="-255"/>
      <w:outlineLvl w:val="1"/>
    </w:pPr>
    <w:rPr>
      <w:rFonts w:ascii="Times New Roman" w:eastAsia="Times New Roman" w:hAnsi="Times New Roman" w:cs="Arial"/>
      <w:b/>
      <w:bCs/>
      <w:iCs/>
      <w:sz w:val="24"/>
      <w:szCs w:val="28"/>
      <w:lang w:val="en-US"/>
    </w:rPr>
  </w:style>
  <w:style w:type="paragraph" w:styleId="Balk3">
    <w:name w:val="heading 3"/>
    <w:basedOn w:val="Normal"/>
    <w:next w:val="Normal"/>
    <w:link w:val="Balk3Char"/>
    <w:qFormat/>
    <w:rsid w:val="009E4C29"/>
    <w:pPr>
      <w:keepNext/>
      <w:tabs>
        <w:tab w:val="left" w:pos="900"/>
      </w:tabs>
      <w:spacing w:before="160" w:after="160" w:line="240" w:lineRule="auto"/>
      <w:ind w:left="925" w:hanging="641"/>
      <w:jc w:val="both"/>
      <w:outlineLvl w:val="2"/>
    </w:pPr>
    <w:rPr>
      <w:rFonts w:ascii="Times New Roman" w:eastAsia="Times New Roman" w:hAnsi="Times New Roman" w:cs="Tahoma"/>
      <w:b/>
      <w:sz w:val="24"/>
    </w:rPr>
  </w:style>
  <w:style w:type="paragraph" w:styleId="Balk4">
    <w:name w:val="heading 4"/>
    <w:basedOn w:val="Normal"/>
    <w:next w:val="Normal"/>
    <w:link w:val="Balk4Char"/>
    <w:qFormat/>
    <w:rsid w:val="009E4C29"/>
    <w:pPr>
      <w:keepNext/>
      <w:spacing w:before="160" w:after="120" w:line="240" w:lineRule="auto"/>
      <w:ind w:left="925" w:hanging="641"/>
      <w:outlineLvl w:val="3"/>
    </w:pPr>
    <w:rPr>
      <w:rFonts w:ascii="Times New Roman" w:eastAsia="Times New Roman" w:hAnsi="Times New Roman" w:cs="Times New Roman"/>
      <w:b/>
      <w:bCs/>
      <w:i/>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B4554"/>
    <w:rPr>
      <w:color w:val="0000FF" w:themeColor="hyperlink"/>
      <w:u w:val="single"/>
    </w:rPr>
  </w:style>
  <w:style w:type="character" w:customStyle="1" w:styleId="Balk2Char">
    <w:name w:val="Başlık 2 Char"/>
    <w:basedOn w:val="VarsaylanParagrafYazTipi"/>
    <w:link w:val="Balk2"/>
    <w:rsid w:val="009E4C29"/>
    <w:rPr>
      <w:rFonts w:ascii="Times New Roman" w:eastAsia="Times New Roman" w:hAnsi="Times New Roman" w:cs="Arial"/>
      <w:b/>
      <w:bCs/>
      <w:iCs/>
      <w:sz w:val="24"/>
      <w:szCs w:val="28"/>
      <w:lang w:val="en-US"/>
    </w:rPr>
  </w:style>
  <w:style w:type="character" w:customStyle="1" w:styleId="Balk3Char">
    <w:name w:val="Başlık 3 Char"/>
    <w:basedOn w:val="VarsaylanParagrafYazTipi"/>
    <w:link w:val="Balk3"/>
    <w:rsid w:val="009E4C29"/>
    <w:rPr>
      <w:rFonts w:ascii="Times New Roman" w:eastAsia="Times New Roman" w:hAnsi="Times New Roman" w:cs="Tahoma"/>
      <w:b/>
      <w:sz w:val="24"/>
    </w:rPr>
  </w:style>
  <w:style w:type="character" w:customStyle="1" w:styleId="Balk4Char">
    <w:name w:val="Başlık 4 Char"/>
    <w:basedOn w:val="VarsaylanParagrafYazTipi"/>
    <w:link w:val="Balk4"/>
    <w:rsid w:val="009E4C29"/>
    <w:rPr>
      <w:rFonts w:ascii="Times New Roman" w:eastAsia="Times New Roman" w:hAnsi="Times New Roman" w:cs="Times New Roman"/>
      <w:b/>
      <w:bCs/>
      <w:i/>
      <w:szCs w:val="28"/>
      <w:lang w:val="en-US"/>
    </w:rPr>
  </w:style>
  <w:style w:type="character" w:styleId="DipnotBavurusu">
    <w:name w:val="footnote reference"/>
    <w:basedOn w:val="VarsaylanParagrafYazTipi"/>
    <w:uiPriority w:val="99"/>
    <w:semiHidden/>
    <w:rsid w:val="009E4C29"/>
    <w:rPr>
      <w:vertAlign w:val="superscript"/>
    </w:rPr>
  </w:style>
  <w:style w:type="table" w:styleId="TabloKlavuzu">
    <w:name w:val="Table Grid"/>
    <w:basedOn w:val="NormalTablo"/>
    <w:uiPriority w:val="59"/>
    <w:rsid w:val="009E4C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Normal">
    <w:name w:val="Guide - Normal"/>
    <w:basedOn w:val="Normal"/>
    <w:link w:val="Guide-NormalChar"/>
    <w:rsid w:val="009E4C29"/>
    <w:pPr>
      <w:suppressAutoHyphens/>
      <w:autoSpaceDN w:val="0"/>
      <w:spacing w:after="0" w:line="240" w:lineRule="auto"/>
      <w:jc w:val="both"/>
      <w:textAlignment w:val="baseline"/>
    </w:pPr>
    <w:rPr>
      <w:rFonts w:ascii="Calibri" w:eastAsia="Times New Roman" w:hAnsi="Calibri" w:cs="Tahoma"/>
      <w:kern w:val="3"/>
      <w:sz w:val="18"/>
      <w:szCs w:val="18"/>
      <w:shd w:val="clear" w:color="auto" w:fill="FFFFFF"/>
      <w:lang w:val="en-GB" w:eastAsia="en-GB"/>
    </w:rPr>
  </w:style>
  <w:style w:type="character" w:customStyle="1" w:styleId="Guide-NormalChar">
    <w:name w:val="Guide - Normal Char"/>
    <w:link w:val="Guide-Normal"/>
    <w:rsid w:val="009E4C29"/>
    <w:rPr>
      <w:rFonts w:ascii="Calibri" w:eastAsia="Times New Roman" w:hAnsi="Calibri" w:cs="Tahoma"/>
      <w:kern w:val="3"/>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MURAT TÜRKMENOĞLU</cp:lastModifiedBy>
  <cp:revision>8</cp:revision>
  <dcterms:created xsi:type="dcterms:W3CDTF">2017-08-23T08:33:00Z</dcterms:created>
  <dcterms:modified xsi:type="dcterms:W3CDTF">2019-08-22T14:21:00Z</dcterms:modified>
</cp:coreProperties>
</file>